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3C" w:rsidRPr="00045C20" w:rsidRDefault="00A92D3C" w:rsidP="00045C20">
      <w:pPr>
        <w:jc w:val="both"/>
        <w:rPr>
          <w:sz w:val="24"/>
          <w:szCs w:val="24"/>
        </w:rPr>
      </w:pPr>
      <w:bookmarkStart w:id="0" w:name="_GoBack"/>
      <w:bookmarkEnd w:id="0"/>
      <w:r w:rsidRPr="00045C20">
        <w:rPr>
          <w:rFonts w:ascii="Times New Roman" w:hAnsi="Times New Roman"/>
          <w:sz w:val="24"/>
          <w:szCs w:val="24"/>
        </w:rPr>
        <w:t xml:space="preserve">Los </w:t>
      </w:r>
      <w:proofErr w:type="spellStart"/>
      <w:r w:rsidRPr="00045C20">
        <w:rPr>
          <w:rFonts w:ascii="Times New Roman" w:hAnsi="Times New Roman"/>
          <w:sz w:val="24"/>
          <w:szCs w:val="24"/>
        </w:rPr>
        <w:t>integrones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son estructuras genéticas presentes en el 17% de los genomas bacterianos capaces de mediar la recombinación sitio-específica de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cassettes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r w:rsidRPr="00045C20">
        <w:rPr>
          <w:rFonts w:ascii="Times New Roman" w:hAnsi="Times New Roman"/>
          <w:sz w:val="24"/>
          <w:szCs w:val="24"/>
        </w:rPr>
        <w:t xml:space="preserve">móviles, dando lugar así a una región variable muy dinámica que puede captar y a la vez donar genes con funciones muy variadas. Están compuestos de una </w:t>
      </w:r>
      <w:proofErr w:type="spellStart"/>
      <w:r w:rsidRPr="00045C20">
        <w:rPr>
          <w:rFonts w:ascii="Times New Roman" w:hAnsi="Times New Roman"/>
          <w:sz w:val="24"/>
          <w:szCs w:val="24"/>
        </w:rPr>
        <w:t>integrasa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, su sitio de reconocimiento y un promotor para la expresión de los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cassettes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r w:rsidRPr="00045C20">
        <w:rPr>
          <w:rFonts w:ascii="Times New Roman" w:hAnsi="Times New Roman"/>
          <w:sz w:val="24"/>
          <w:szCs w:val="24"/>
        </w:rPr>
        <w:t xml:space="preserve">que integran. Se han reportado innumerables casos de </w:t>
      </w:r>
      <w:proofErr w:type="spellStart"/>
      <w:r w:rsidRPr="00045C20">
        <w:rPr>
          <w:rFonts w:ascii="Times New Roman" w:hAnsi="Times New Roman"/>
          <w:sz w:val="24"/>
          <w:szCs w:val="24"/>
        </w:rPr>
        <w:t>integrones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asociados a la </w:t>
      </w:r>
      <w:proofErr w:type="spellStart"/>
      <w:r w:rsidRPr="00045C20">
        <w:rPr>
          <w:rFonts w:ascii="Times New Roman" w:hAnsi="Times New Roman"/>
          <w:sz w:val="24"/>
          <w:szCs w:val="24"/>
        </w:rPr>
        <w:t>multirresistencia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antibiótica, confiriendo resistencia a casi todos los antibióticos de uso médico. Los </w:t>
      </w:r>
      <w:proofErr w:type="spellStart"/>
      <w:r w:rsidRPr="00045C20">
        <w:rPr>
          <w:rFonts w:ascii="Times New Roman" w:hAnsi="Times New Roman"/>
          <w:sz w:val="24"/>
          <w:szCs w:val="24"/>
        </w:rPr>
        <w:t>integrones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de clase 1 son los más frecuentes en aislamientos clínicos, pero poco se sabe respecto de su dispersión en el ámbito no clínico. De hecho, la funcionalidad de las  </w:t>
      </w:r>
      <w:proofErr w:type="spellStart"/>
      <w:r w:rsidRPr="00045C20">
        <w:rPr>
          <w:rFonts w:ascii="Times New Roman" w:hAnsi="Times New Roman"/>
          <w:sz w:val="24"/>
          <w:szCs w:val="24"/>
        </w:rPr>
        <w:t>integrasas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de clase 1 ambientales no ha sido aún analizada. Analizamos  la funcionalidad de </w:t>
      </w:r>
      <w:proofErr w:type="spellStart"/>
      <w:r w:rsidRPr="00045C20">
        <w:rPr>
          <w:rFonts w:ascii="Times New Roman" w:hAnsi="Times New Roman"/>
          <w:sz w:val="24"/>
          <w:szCs w:val="24"/>
        </w:rPr>
        <w:t>integrasas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de clase 1 presentes en bacterias ambientales provenientes de diferentes </w:t>
      </w:r>
      <w:proofErr w:type="spellStart"/>
      <w:r w:rsidRPr="00045C20">
        <w:rPr>
          <w:rFonts w:ascii="Times New Roman" w:hAnsi="Times New Roman"/>
          <w:sz w:val="24"/>
          <w:szCs w:val="24"/>
        </w:rPr>
        <w:t>habitats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mediante ensayos </w:t>
      </w:r>
      <w:r w:rsidRPr="00045C20">
        <w:rPr>
          <w:rFonts w:ascii="Times New Roman" w:hAnsi="Times New Roman"/>
          <w:i/>
          <w:sz w:val="24"/>
          <w:szCs w:val="24"/>
        </w:rPr>
        <w:t>in vivo</w:t>
      </w:r>
      <w:r w:rsidRPr="00045C20">
        <w:rPr>
          <w:rFonts w:ascii="Times New Roman" w:hAnsi="Times New Roman"/>
          <w:sz w:val="24"/>
          <w:szCs w:val="24"/>
        </w:rPr>
        <w:t xml:space="preserve">. La funcionalidad de la </w:t>
      </w:r>
      <w:proofErr w:type="spellStart"/>
      <w:r w:rsidRPr="00045C20">
        <w:rPr>
          <w:rFonts w:ascii="Times New Roman" w:hAnsi="Times New Roman"/>
          <w:sz w:val="24"/>
          <w:szCs w:val="24"/>
        </w:rPr>
        <w:t>integrasa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se determinó por la capacidad de integración de los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cassettes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aadB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r w:rsidRPr="00045C20">
        <w:rPr>
          <w:rFonts w:ascii="Times New Roman" w:hAnsi="Times New Roman"/>
          <w:sz w:val="24"/>
          <w:szCs w:val="24"/>
        </w:rPr>
        <w:t xml:space="preserve">y </w:t>
      </w:r>
      <w:r w:rsidRPr="00045C20">
        <w:rPr>
          <w:rFonts w:ascii="Times New Roman" w:hAnsi="Times New Roman"/>
          <w:i/>
          <w:sz w:val="24"/>
          <w:szCs w:val="24"/>
        </w:rPr>
        <w:t>bla</w:t>
      </w:r>
      <w:r w:rsidRPr="00045C20">
        <w:rPr>
          <w:rFonts w:ascii="Times New Roman" w:hAnsi="Times New Roman"/>
          <w:sz w:val="24"/>
          <w:szCs w:val="24"/>
          <w:vertAlign w:val="subscript"/>
        </w:rPr>
        <w:t>VIM-2</w:t>
      </w:r>
      <w:r w:rsidRPr="00045C20">
        <w:rPr>
          <w:rFonts w:ascii="Times New Roman" w:hAnsi="Times New Roman"/>
          <w:sz w:val="24"/>
          <w:szCs w:val="24"/>
        </w:rPr>
        <w:t xml:space="preserve"> de resistencia a </w:t>
      </w:r>
      <w:proofErr w:type="spellStart"/>
      <w:r w:rsidRPr="00045C20">
        <w:rPr>
          <w:rFonts w:ascii="Times New Roman" w:hAnsi="Times New Roman"/>
          <w:sz w:val="24"/>
          <w:szCs w:val="24"/>
        </w:rPr>
        <w:t>gentamicina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045C20">
        <w:rPr>
          <w:rFonts w:ascii="Times New Roman" w:hAnsi="Times New Roman"/>
          <w:sz w:val="24"/>
          <w:szCs w:val="24"/>
        </w:rPr>
        <w:t>carbapenemes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, respectivamente. Cada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cassette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r w:rsidRPr="00045C20">
        <w:rPr>
          <w:rFonts w:ascii="Times New Roman" w:hAnsi="Times New Roman"/>
          <w:sz w:val="24"/>
          <w:szCs w:val="24"/>
        </w:rPr>
        <w:t xml:space="preserve">fue incorporado en la bacteria ligado a un plásmido ColE1 comercial dentro de la estructura </w:t>
      </w:r>
      <w:r w:rsidRPr="00045C20">
        <w:rPr>
          <w:rFonts w:ascii="Times New Roman" w:hAnsi="Times New Roman"/>
          <w:i/>
          <w:sz w:val="24"/>
          <w:szCs w:val="24"/>
        </w:rPr>
        <w:t>attI1-aadB-attC</w:t>
      </w:r>
      <w:r w:rsidRPr="00045C20">
        <w:rPr>
          <w:rFonts w:ascii="Times New Roman" w:hAnsi="Times New Roman"/>
          <w:sz w:val="24"/>
          <w:szCs w:val="24"/>
        </w:rPr>
        <w:t xml:space="preserve"> o </w:t>
      </w:r>
      <w:r w:rsidRPr="00045C20">
        <w:rPr>
          <w:rFonts w:ascii="Times New Roman" w:hAnsi="Times New Roman"/>
          <w:i/>
          <w:sz w:val="24"/>
          <w:szCs w:val="24"/>
        </w:rPr>
        <w:t>attI1- bla</w:t>
      </w:r>
      <w:r w:rsidRPr="00045C20">
        <w:rPr>
          <w:rFonts w:ascii="Times New Roman" w:hAnsi="Times New Roman"/>
          <w:sz w:val="24"/>
          <w:szCs w:val="24"/>
          <w:vertAlign w:val="subscript"/>
        </w:rPr>
        <w:t>VIM-2</w:t>
      </w:r>
      <w:r w:rsidRPr="00045C20">
        <w:rPr>
          <w:rFonts w:ascii="Times New Roman" w:hAnsi="Times New Roman"/>
          <w:sz w:val="24"/>
          <w:szCs w:val="24"/>
        </w:rPr>
        <w:t xml:space="preserve"> </w:t>
      </w:r>
      <w:r w:rsidRPr="00045C2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attC</w:t>
      </w:r>
      <w:proofErr w:type="spellEnd"/>
      <w:r w:rsidRPr="00045C20">
        <w:rPr>
          <w:rFonts w:ascii="Times New Roman" w:hAnsi="Times New Roman"/>
          <w:sz w:val="24"/>
          <w:szCs w:val="24"/>
        </w:rPr>
        <w:t>. De los 11 aislamientos, 5 resultaron ser competentes naturales (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Escherichia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coli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r w:rsidRPr="00045C20">
        <w:rPr>
          <w:rFonts w:ascii="Times New Roman" w:hAnsi="Times New Roman"/>
          <w:sz w:val="24"/>
          <w:szCs w:val="24"/>
        </w:rPr>
        <w:t xml:space="preserve">4IgSN1,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Pantoea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dispersa </w:t>
      </w:r>
      <w:r w:rsidRPr="00045C20">
        <w:rPr>
          <w:rFonts w:ascii="Times New Roman" w:hAnsi="Times New Roman"/>
          <w:sz w:val="24"/>
          <w:szCs w:val="24"/>
        </w:rPr>
        <w:t xml:space="preserve">10FZSS14,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Pseudomonas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sz w:val="24"/>
          <w:szCs w:val="24"/>
        </w:rPr>
        <w:t>sp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. 1SL5,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Acinetobacter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sz w:val="24"/>
          <w:szCs w:val="24"/>
        </w:rPr>
        <w:t>sp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. 1IgSLAM1 y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Acinetobacter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sz w:val="24"/>
          <w:szCs w:val="24"/>
        </w:rPr>
        <w:t>sp</w:t>
      </w:r>
      <w:proofErr w:type="spellEnd"/>
      <w:r w:rsidRPr="00045C20">
        <w:rPr>
          <w:rFonts w:ascii="Times New Roman" w:hAnsi="Times New Roman"/>
          <w:sz w:val="24"/>
          <w:szCs w:val="24"/>
        </w:rPr>
        <w:t>. 1IgSN3. Los 6 restantes (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Aeromonas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media </w:t>
      </w:r>
      <w:r w:rsidRPr="00045C20">
        <w:rPr>
          <w:rFonts w:ascii="Times New Roman" w:hAnsi="Times New Roman"/>
          <w:sz w:val="24"/>
          <w:szCs w:val="24"/>
        </w:rPr>
        <w:t xml:space="preserve">1AC2, </w:t>
      </w:r>
      <w:r w:rsidRPr="00045C20">
        <w:rPr>
          <w:rFonts w:ascii="Times New Roman" w:hAnsi="Times New Roman"/>
          <w:i/>
          <w:sz w:val="24"/>
          <w:szCs w:val="24"/>
        </w:rPr>
        <w:t xml:space="preserve">Vibrio </w:t>
      </w:r>
      <w:proofErr w:type="spellStart"/>
      <w:r w:rsidRPr="00045C20">
        <w:rPr>
          <w:rFonts w:ascii="Times New Roman" w:hAnsi="Times New Roman"/>
          <w:sz w:val="24"/>
          <w:szCs w:val="24"/>
        </w:rPr>
        <w:t>sp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. 1AC4,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Aranicola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sz w:val="24"/>
          <w:szCs w:val="24"/>
        </w:rPr>
        <w:t>sp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. 9AL34,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Pseudomonas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sz w:val="24"/>
          <w:szCs w:val="24"/>
        </w:rPr>
        <w:t>sp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. 7AN1,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Enterobacter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sz w:val="24"/>
          <w:szCs w:val="24"/>
        </w:rPr>
        <w:t>sp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. 10AL1 y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Enterobacter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sz w:val="24"/>
          <w:szCs w:val="24"/>
        </w:rPr>
        <w:t>sp</w:t>
      </w:r>
      <w:proofErr w:type="spellEnd"/>
      <w:r w:rsidRPr="00045C20">
        <w:rPr>
          <w:rFonts w:ascii="Times New Roman" w:hAnsi="Times New Roman"/>
          <w:sz w:val="24"/>
          <w:szCs w:val="24"/>
        </w:rPr>
        <w:t>. 1IgSLAM2) fueron hechos químicamente competentes con CaCl</w:t>
      </w:r>
      <w:r w:rsidRPr="00045C20">
        <w:rPr>
          <w:rFonts w:ascii="Times New Roman" w:hAnsi="Times New Roman"/>
          <w:sz w:val="24"/>
          <w:szCs w:val="24"/>
          <w:vertAlign w:val="subscript"/>
        </w:rPr>
        <w:t>2</w:t>
      </w:r>
      <w:r w:rsidRPr="00045C20">
        <w:rPr>
          <w:rFonts w:ascii="Times New Roman" w:hAnsi="Times New Roman"/>
          <w:sz w:val="24"/>
          <w:szCs w:val="24"/>
        </w:rPr>
        <w:t xml:space="preserve"> y transformados por </w:t>
      </w:r>
      <w:r w:rsidRPr="00045C20">
        <w:rPr>
          <w:rFonts w:ascii="Times New Roman" w:hAnsi="Times New Roman"/>
          <w:i/>
          <w:sz w:val="24"/>
          <w:szCs w:val="24"/>
        </w:rPr>
        <w:t>shock</w:t>
      </w:r>
      <w:r w:rsidRPr="00045C20">
        <w:rPr>
          <w:rFonts w:ascii="Times New Roman" w:hAnsi="Times New Roman"/>
          <w:sz w:val="24"/>
          <w:szCs w:val="24"/>
        </w:rPr>
        <w:t xml:space="preserve"> térmico. La inserción del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cassette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r w:rsidRPr="00045C20">
        <w:rPr>
          <w:rFonts w:ascii="Times New Roman" w:hAnsi="Times New Roman"/>
          <w:sz w:val="24"/>
          <w:szCs w:val="24"/>
        </w:rPr>
        <w:t xml:space="preserve">en el sitio </w:t>
      </w:r>
      <w:r w:rsidRPr="00045C20">
        <w:rPr>
          <w:rFonts w:ascii="Times New Roman" w:hAnsi="Times New Roman"/>
          <w:i/>
          <w:sz w:val="24"/>
          <w:szCs w:val="24"/>
        </w:rPr>
        <w:t xml:space="preserve">attI1 </w:t>
      </w:r>
      <w:r w:rsidRPr="00045C20">
        <w:rPr>
          <w:rFonts w:ascii="Times New Roman" w:hAnsi="Times New Roman"/>
          <w:sz w:val="24"/>
          <w:szCs w:val="24"/>
        </w:rPr>
        <w:t xml:space="preserve">nativo se evidenció por PCR con cebadores específicos y secuenciación en todos los aislamientos salvo en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Pseudomonas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sz w:val="24"/>
          <w:szCs w:val="24"/>
        </w:rPr>
        <w:t>sp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. 7AN1. El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cassette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r w:rsidRPr="00045C20">
        <w:rPr>
          <w:rFonts w:ascii="Times New Roman" w:hAnsi="Times New Roman"/>
          <w:sz w:val="24"/>
          <w:szCs w:val="24"/>
        </w:rPr>
        <w:t xml:space="preserve">inserto fue mantenido en ausencia de presión de selección antibiótica al menos 30 días post-transformación en medio líquido </w:t>
      </w:r>
      <w:proofErr w:type="spellStart"/>
      <w:r w:rsidRPr="00045C20">
        <w:rPr>
          <w:rFonts w:ascii="Times New Roman" w:hAnsi="Times New Roman"/>
          <w:sz w:val="24"/>
          <w:szCs w:val="24"/>
        </w:rPr>
        <w:t>subcultivando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periódicamente en las cepas de </w:t>
      </w:r>
      <w:r w:rsidRPr="00045C20">
        <w:rPr>
          <w:rFonts w:ascii="Times New Roman" w:hAnsi="Times New Roman"/>
          <w:i/>
          <w:sz w:val="24"/>
          <w:szCs w:val="24"/>
        </w:rPr>
        <w:t xml:space="preserve">E.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coli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r w:rsidRPr="00045C20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Pseudomonas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45C20">
        <w:rPr>
          <w:rFonts w:ascii="Times New Roman" w:hAnsi="Times New Roman"/>
          <w:sz w:val="24"/>
          <w:szCs w:val="24"/>
        </w:rPr>
        <w:t>sp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45C20">
        <w:rPr>
          <w:rFonts w:ascii="Times New Roman" w:hAnsi="Times New Roman"/>
          <w:sz w:val="24"/>
          <w:szCs w:val="24"/>
        </w:rPr>
        <w:t>competentes</w:t>
      </w:r>
      <w:proofErr w:type="gramEnd"/>
      <w:r w:rsidRPr="00045C20">
        <w:rPr>
          <w:rFonts w:ascii="Times New Roman" w:hAnsi="Times New Roman"/>
          <w:sz w:val="24"/>
          <w:szCs w:val="24"/>
        </w:rPr>
        <w:t xml:space="preserve"> naturales. Además, en estos aislamientos la presencia del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cassette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 </w:t>
      </w:r>
      <w:r w:rsidRPr="00045C20">
        <w:rPr>
          <w:rFonts w:ascii="Times New Roman" w:hAnsi="Times New Roman"/>
          <w:sz w:val="24"/>
          <w:szCs w:val="24"/>
        </w:rPr>
        <w:t xml:space="preserve">inserto, ya sea 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aadB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r w:rsidRPr="00045C20">
        <w:rPr>
          <w:rFonts w:ascii="Times New Roman" w:hAnsi="Times New Roman"/>
          <w:sz w:val="24"/>
          <w:szCs w:val="24"/>
        </w:rPr>
        <w:t xml:space="preserve">o </w:t>
      </w:r>
      <w:r w:rsidRPr="00045C20">
        <w:rPr>
          <w:rFonts w:ascii="Times New Roman" w:hAnsi="Times New Roman"/>
          <w:i/>
          <w:sz w:val="24"/>
          <w:szCs w:val="24"/>
        </w:rPr>
        <w:t>bla</w:t>
      </w:r>
      <w:r w:rsidRPr="00045C20">
        <w:rPr>
          <w:rFonts w:ascii="Times New Roman" w:hAnsi="Times New Roman"/>
          <w:sz w:val="24"/>
          <w:szCs w:val="24"/>
          <w:vertAlign w:val="subscript"/>
        </w:rPr>
        <w:t xml:space="preserve">VIM-2 </w:t>
      </w:r>
      <w:r w:rsidRPr="00045C20">
        <w:rPr>
          <w:rFonts w:ascii="Times New Roman" w:hAnsi="Times New Roman"/>
          <w:sz w:val="24"/>
          <w:szCs w:val="24"/>
        </w:rPr>
        <w:t xml:space="preserve">no demostraron tener un costo sobre el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fitness</w:t>
      </w:r>
      <w:proofErr w:type="spellEnd"/>
      <w:r w:rsidRPr="00045C20">
        <w:rPr>
          <w:rFonts w:ascii="Times New Roman" w:hAnsi="Times New Roman"/>
          <w:i/>
          <w:sz w:val="24"/>
          <w:szCs w:val="24"/>
        </w:rPr>
        <w:t xml:space="preserve"> </w:t>
      </w:r>
      <w:r w:rsidRPr="00045C20">
        <w:rPr>
          <w:rFonts w:ascii="Times New Roman" w:hAnsi="Times New Roman"/>
          <w:sz w:val="24"/>
          <w:szCs w:val="24"/>
        </w:rPr>
        <w:t xml:space="preserve">de la bacteria en un experimento de competencia entre la cepa con y sin el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cassette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. Estos resultados plantean un escenario en el cual las bacterias provenientes tanto de la clínica como del ambiente intercambian material genético a través de un flujo bidireccional, siendo las bacterias ambientales reservorio de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cassettes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de resistencia antibiótica, y, al mismo tiempo, pueden brindar a las bacterias patógenas de humanos de nuevos </w:t>
      </w:r>
      <w:proofErr w:type="spellStart"/>
      <w:r w:rsidRPr="00045C20">
        <w:rPr>
          <w:rFonts w:ascii="Times New Roman" w:hAnsi="Times New Roman"/>
          <w:i/>
          <w:sz w:val="24"/>
          <w:szCs w:val="24"/>
        </w:rPr>
        <w:t>cassettes</w:t>
      </w:r>
      <w:proofErr w:type="spellEnd"/>
      <w:r w:rsidRPr="00045C20">
        <w:rPr>
          <w:rFonts w:ascii="Times New Roman" w:hAnsi="Times New Roman"/>
          <w:sz w:val="24"/>
          <w:szCs w:val="24"/>
        </w:rPr>
        <w:t xml:space="preserve"> con las funciones requeridas para la supervivencia en ambientes de </w:t>
      </w:r>
      <w:r w:rsidRPr="00045C20">
        <w:rPr>
          <w:rFonts w:ascii="Times New Roman" w:hAnsi="Times New Roman"/>
          <w:i/>
          <w:sz w:val="24"/>
          <w:szCs w:val="24"/>
        </w:rPr>
        <w:t>stress</w:t>
      </w:r>
      <w:r w:rsidRPr="00045C20">
        <w:rPr>
          <w:rFonts w:ascii="Times New Roman" w:hAnsi="Times New Roman"/>
          <w:sz w:val="24"/>
          <w:szCs w:val="24"/>
        </w:rPr>
        <w:t>, tal como es el nicho intrahospitalario.</w:t>
      </w:r>
    </w:p>
    <w:sectPr w:rsidR="00A92D3C" w:rsidRPr="00045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3C"/>
    <w:rsid w:val="00045C20"/>
    <w:rsid w:val="00681185"/>
    <w:rsid w:val="00A92D3C"/>
    <w:rsid w:val="00B70122"/>
    <w:rsid w:val="00F44888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2014-03-31T00:15:00Z</dcterms:created>
  <dcterms:modified xsi:type="dcterms:W3CDTF">2014-03-31T00:15:00Z</dcterms:modified>
</cp:coreProperties>
</file>