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63" w:rsidRDefault="00096163" w:rsidP="00E72F7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</w:p>
    <w:p w:rsidR="00096163" w:rsidRDefault="00096163" w:rsidP="00E72F7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</w:p>
    <w:p w:rsidR="00096163" w:rsidRDefault="00096163" w:rsidP="00E72F7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</w:p>
    <w:p w:rsidR="00A67098" w:rsidRDefault="00A67098" w:rsidP="00E72F7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</w:pPr>
      <w:r w:rsidRPr="00A67098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Control de las </w:t>
      </w:r>
      <w:proofErr w:type="spellStart"/>
      <w:r w:rsidRPr="00A67098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geohelmintiasis</w:t>
      </w:r>
      <w:proofErr w:type="spellEnd"/>
      <w:r w:rsidRPr="00A67098"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 xml:space="preserve"> humanas en zonas endémicas. Herramientas y estrategias para el abordaje comunitario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s-AR"/>
        </w:rPr>
        <w:t>.</w:t>
      </w:r>
    </w:p>
    <w:p w:rsidR="00A67098" w:rsidRPr="00972782" w:rsidRDefault="00A67098" w:rsidP="00E72F7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proofErr w:type="gramStart"/>
      <w:r w:rsidRPr="00A67098">
        <w:rPr>
          <w:rFonts w:ascii="Times New Roman" w:hAnsi="Times New Roman" w:cs="Times New Roman"/>
          <w:sz w:val="24"/>
          <w:szCs w:val="24"/>
          <w:shd w:val="clear" w:color="auto" w:fill="FFFFFF"/>
        </w:rPr>
        <w:t>Control of human Soil Transmitted Helminthiasis in endemic areas.</w:t>
      </w:r>
      <w:proofErr w:type="gramEnd"/>
      <w:r w:rsidRPr="00A67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Tools and </w:t>
      </w:r>
      <w:proofErr w:type="spellStart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strategies</w:t>
      </w:r>
      <w:proofErr w:type="spellEnd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</w:t>
      </w:r>
      <w:proofErr w:type="spellStart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for</w:t>
      </w:r>
      <w:proofErr w:type="spellEnd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a </w:t>
      </w:r>
      <w:proofErr w:type="spellStart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community</w:t>
      </w:r>
      <w:proofErr w:type="spellEnd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 xml:space="preserve"> </w:t>
      </w:r>
      <w:proofErr w:type="spellStart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approach</w:t>
      </w:r>
      <w:proofErr w:type="spellEnd"/>
      <w:r w:rsidRPr="00972782"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  <w:t>.</w:t>
      </w:r>
    </w:p>
    <w:p w:rsidR="00972782" w:rsidRDefault="00972782" w:rsidP="00972782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Las helmintiasis transmitidas por el suelo o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>geohelmintiasis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son las infecciones humanas más ampliamente difundidas, afectando hasta un cuarto de la población mundial y de modo desproporcionado a las comunidades empobrecidas de las regiones tropicales y subtropicales del mundo en las cuales alimentan el círculo vicioso de pobreza y enfermedad, afectando el crecimiento y desarrollo de los niños y también la productividad y calidad de vida de la población adulta. En base a la escasa atención dedicada a estas infecciones y a las poblaciones que las sufren por parte de los gobiernos y la industria farmacéutica, las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>geohelmintiasis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son un ejemplo paradigmático de las denominadas Enfermedades Tropicales Desatendidas, sobre las cuales existe un renovado interés con el objetivo de controlar su morbilidad y prevalencia. </w:t>
      </w:r>
    </w:p>
    <w:p w:rsidR="00096163" w:rsidRDefault="00972782" w:rsidP="00096163">
      <w:pPr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A este grupo pertenecen las especies </w:t>
      </w:r>
      <w:r w:rsidRPr="00E725D9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>Ascaris lumbricoides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, </w:t>
      </w:r>
      <w:r w:rsidRPr="00E725D9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>Trichuris trichiura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, </w:t>
      </w:r>
      <w:r w:rsidRPr="00E725D9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>Strongyloides stercoralis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y las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>uncinarias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</w:t>
      </w:r>
      <w:r w:rsidRPr="00E725D9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>Ancylostoma duodenale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y </w:t>
      </w:r>
      <w:r w:rsidRPr="00E725D9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>Necator americanus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. </w:t>
      </w:r>
      <w:r w:rsidR="00E725D9"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La morbilidad de estas infecciones se manifiesta en anemia, trastornos intestinales varios incluyendo la obstrucción por gusanos adultos, malnutrición manifestada por bajos </w:t>
      </w:r>
      <w:proofErr w:type="spellStart"/>
      <w:r w:rsidR="00E725D9"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>percentilos</w:t>
      </w:r>
      <w:proofErr w:type="spellEnd"/>
      <w:r w:rsidR="00E725D9"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en las curvas de crecimiento y trastornos cognitivos. En la embarazada, la anemia mediada por </w:t>
      </w:r>
      <w:proofErr w:type="spellStart"/>
      <w:r w:rsidR="00E725D9"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>uncinarias</w:t>
      </w:r>
      <w:proofErr w:type="spellEnd"/>
      <w:r w:rsidR="00E725D9"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  <w:t xml:space="preserve"> se relaciona a bajo peso al nacer del niño. </w:t>
      </w:r>
    </w:p>
    <w:p w:rsidR="00096163" w:rsidRDefault="00096163" w:rsidP="00096163">
      <w:pPr>
        <w:jc w:val="both"/>
        <w:rPr>
          <w:rFonts w:ascii="Times New Roman" w:hAnsi="Times New Roman" w:cs="Times New Roman"/>
          <w:sz w:val="20"/>
          <w:lang w:val="es-AR"/>
        </w:rPr>
      </w:pPr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Aproximadamente mil millones de personas están infectadas con al menos una especie de geohelminto, siendo el </w:t>
      </w:r>
      <w:proofErr w:type="spellStart"/>
      <w:r w:rsidRPr="00096163">
        <w:rPr>
          <w:rFonts w:ascii="Times New Roman" w:hAnsi="Times New Roman" w:cs="Times New Roman"/>
          <w:sz w:val="20"/>
          <w:szCs w:val="24"/>
          <w:lang w:val="es-AR"/>
        </w:rPr>
        <w:t>poliparasitismo</w:t>
      </w:r>
      <w:proofErr w:type="spellEnd"/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 frecuente. En Argentina, la prevalencia es variable, con una distribución heterogénea y dos áreas endémicas principales e</w:t>
      </w:r>
      <w:r>
        <w:rPr>
          <w:rFonts w:ascii="Times New Roman" w:hAnsi="Times New Roman" w:cs="Times New Roman"/>
          <w:sz w:val="20"/>
          <w:szCs w:val="24"/>
          <w:lang w:val="es-AR"/>
        </w:rPr>
        <w:t>n el noreste y noroeste</w:t>
      </w:r>
      <w:r w:rsidRPr="00096163">
        <w:rPr>
          <w:rFonts w:ascii="Times New Roman" w:hAnsi="Times New Roman" w:cs="Times New Roman"/>
          <w:sz w:val="20"/>
          <w:szCs w:val="24"/>
          <w:lang w:val="es-AR"/>
        </w:rPr>
        <w:t>.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  <w:t xml:space="preserve"> </w:t>
      </w:r>
      <w:r w:rsidRPr="00096163">
        <w:rPr>
          <w:rFonts w:ascii="Times New Roman" w:hAnsi="Times New Roman" w:cs="Times New Roman"/>
          <w:sz w:val="20"/>
          <w:lang w:val="es-AR"/>
        </w:rPr>
        <w:t xml:space="preserve">El impacto las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geohelmintiasis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en nuestro país se ha estudiado a través de relevamientos poblacionales puntuales, sin que exista un mapeo completo de la situación actual del problema, ni una identificación precisa de las áreas más afectadas; razón por la que reportes regionales sobre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geohelmintiasis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no incluyen a Argentina entre los países afectados, a pesar de la reconocida alta prevalencia en zonas como la del norte de Salta; particularmente en los Departamentos de Orán y San Martín de la </w:t>
      </w:r>
      <w:r w:rsidR="00220A79">
        <w:rPr>
          <w:rFonts w:ascii="Times New Roman" w:hAnsi="Times New Roman" w:cs="Times New Roman"/>
          <w:sz w:val="20"/>
          <w:lang w:val="es-AR"/>
        </w:rPr>
        <w:t>esta provincia</w:t>
      </w:r>
      <w:r w:rsidRPr="00096163">
        <w:rPr>
          <w:rFonts w:ascii="Times New Roman" w:hAnsi="Times New Roman" w:cs="Times New Roman"/>
          <w:sz w:val="20"/>
          <w:lang w:val="es-AR"/>
        </w:rPr>
        <w:t xml:space="preserve">, los niveles de prevalencia han sido reportados entre los más altos del mundo para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estrongiloidiasis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y también son de alta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endemicidad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para el resto de las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geohelmintiasis</w:t>
      </w:r>
      <w:proofErr w:type="spellEnd"/>
    </w:p>
    <w:p w:rsidR="00096163" w:rsidRDefault="00096163" w:rsidP="00096163">
      <w:pPr>
        <w:jc w:val="both"/>
        <w:rPr>
          <w:rFonts w:ascii="Times New Roman" w:hAnsi="Times New Roman" w:cs="Times New Roman"/>
          <w:sz w:val="20"/>
          <w:szCs w:val="24"/>
          <w:lang w:val="es-ES"/>
        </w:rPr>
      </w:pPr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El control de las </w:t>
      </w:r>
      <w:proofErr w:type="spellStart"/>
      <w:r w:rsidRPr="00096163">
        <w:rPr>
          <w:rFonts w:ascii="Times New Roman" w:hAnsi="Times New Roman" w:cs="Times New Roman"/>
          <w:sz w:val="20"/>
          <w:szCs w:val="24"/>
          <w:lang w:val="es-AR"/>
        </w:rPr>
        <w:t>geohelmintiasis</w:t>
      </w:r>
      <w:proofErr w:type="spellEnd"/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 se basa en la combinación de tres grandes conjuntos de acciones: 1)</w:t>
      </w:r>
      <w:r w:rsidRPr="00096163">
        <w:rPr>
          <w:rFonts w:ascii="Times New Roman" w:hAnsi="Times New Roman" w:cs="Times New Roman"/>
          <w:color w:val="000000"/>
          <w:sz w:val="20"/>
          <w:szCs w:val="24"/>
          <w:lang w:val="es-AR"/>
        </w:rPr>
        <w:t xml:space="preserve"> tratamiento, 2) educación para la salud y 3) saneamiento ambiental. </w:t>
      </w:r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En mayo de 2001, la </w:t>
      </w:r>
      <w:r w:rsidRPr="00096163">
        <w:rPr>
          <w:rFonts w:ascii="Times New Roman" w:hAnsi="Times New Roman" w:cs="Times New Roman"/>
          <w:sz w:val="20"/>
          <w:szCs w:val="24"/>
          <w:lang w:val="es-ES"/>
        </w:rPr>
        <w:t xml:space="preserve">54ª Asamblea Mundial de </w:t>
      </w:r>
      <w:smartTag w:uri="urn:schemas-microsoft-com:office:smarttags" w:element="PersonName">
        <w:smartTagPr>
          <w:attr w:name="ProductID" w:val="la Salud"/>
        </w:smartTagPr>
        <w:r w:rsidRPr="00096163">
          <w:rPr>
            <w:rFonts w:ascii="Times New Roman" w:hAnsi="Times New Roman" w:cs="Times New Roman"/>
            <w:sz w:val="20"/>
            <w:szCs w:val="24"/>
            <w:lang w:val="es-ES"/>
          </w:rPr>
          <w:t>la Salud</w:t>
        </w:r>
      </w:smartTag>
      <w:r w:rsidRPr="00096163">
        <w:rPr>
          <w:rFonts w:ascii="Times New Roman" w:hAnsi="Times New Roman" w:cs="Times New Roman"/>
          <w:sz w:val="20"/>
          <w:szCs w:val="24"/>
          <w:lang w:val="es-ES"/>
        </w:rPr>
        <w:t>,</w:t>
      </w:r>
      <w:r w:rsidRPr="00096163">
        <w:rPr>
          <w:rFonts w:ascii="Times New Roman" w:hAnsi="Times New Roman" w:cs="Times New Roman"/>
          <w:sz w:val="20"/>
          <w:szCs w:val="24"/>
          <w:lang w:val="es-AR"/>
        </w:rPr>
        <w:t xml:space="preserve"> </w:t>
      </w:r>
      <w:r w:rsidRPr="00096163">
        <w:rPr>
          <w:rFonts w:ascii="Times New Roman" w:hAnsi="Times New Roman" w:cs="Times New Roman"/>
          <w:sz w:val="20"/>
          <w:szCs w:val="24"/>
          <w:lang w:val="es-ES"/>
        </w:rPr>
        <w:t xml:space="preserve">recomendó la desparasitación masiva periódica como una de las medidas más costo-efectivas para controlar la morbilidad por geohelmintos. El objetivo, aún cuando la re-infección es la regla, es mantener la intensidad de la infección por debajo del límite asociado a enfermedad. </w:t>
      </w:r>
    </w:p>
    <w:p w:rsidR="006C7153" w:rsidRDefault="00096163" w:rsidP="006C7153">
      <w:pPr>
        <w:jc w:val="both"/>
        <w:rPr>
          <w:rFonts w:ascii="Times New Roman" w:hAnsi="Times New Roman" w:cs="Times New Roman"/>
          <w:sz w:val="20"/>
          <w:lang w:val="es-AR"/>
        </w:rPr>
      </w:pPr>
      <w:r w:rsidRPr="00096163">
        <w:rPr>
          <w:rFonts w:ascii="Times New Roman" w:hAnsi="Times New Roman" w:cs="Times New Roman"/>
          <w:sz w:val="20"/>
          <w:lang w:val="es-AR"/>
        </w:rPr>
        <w:t xml:space="preserve">El Instituto de Enfermedades Tropicales en la sede regional Orán de </w:t>
      </w:r>
      <w:smartTag w:uri="urn:schemas-microsoft-com:office:smarttags" w:element="PersonName">
        <w:smartTagPr>
          <w:attr w:name="ProductID" w:val="la Universidad Nacional"/>
        </w:smartTagPr>
        <w:r w:rsidRPr="00096163">
          <w:rPr>
            <w:rFonts w:ascii="Times New Roman" w:hAnsi="Times New Roman" w:cs="Times New Roman"/>
            <w:sz w:val="20"/>
            <w:lang w:val="es-AR"/>
          </w:rPr>
          <w:t>la Universidad Nacional</w:t>
        </w:r>
      </w:smartTag>
      <w:r w:rsidRPr="00096163">
        <w:rPr>
          <w:rFonts w:ascii="Times New Roman" w:hAnsi="Times New Roman" w:cs="Times New Roman"/>
          <w:sz w:val="20"/>
          <w:lang w:val="es-AR"/>
        </w:rPr>
        <w:t xml:space="preserve"> de Salta, a partir de los trabajos originales del Prof. Néstor Tarant</w:t>
      </w:r>
      <w:r>
        <w:rPr>
          <w:rFonts w:ascii="Times New Roman" w:hAnsi="Times New Roman" w:cs="Times New Roman"/>
          <w:sz w:val="20"/>
          <w:lang w:val="es-AR"/>
        </w:rPr>
        <w:t>o</w:t>
      </w:r>
      <w:r w:rsidRPr="00096163">
        <w:rPr>
          <w:rFonts w:ascii="Times New Roman" w:hAnsi="Times New Roman" w:cs="Times New Roman"/>
          <w:sz w:val="20"/>
          <w:lang w:val="es-AR"/>
        </w:rPr>
        <w:t xml:space="preserve">, ha </w:t>
      </w:r>
      <w:r w:rsidR="006C7153">
        <w:rPr>
          <w:rFonts w:ascii="Times New Roman" w:hAnsi="Times New Roman" w:cs="Times New Roman"/>
          <w:sz w:val="20"/>
          <w:lang w:val="es-AR"/>
        </w:rPr>
        <w:t>sido un centro de referencia para el estudio de las endemias regionales, gen</w:t>
      </w:r>
      <w:r w:rsidRPr="00096163">
        <w:rPr>
          <w:rFonts w:ascii="Times New Roman" w:hAnsi="Times New Roman" w:cs="Times New Roman"/>
          <w:sz w:val="20"/>
          <w:lang w:val="es-AR"/>
        </w:rPr>
        <w:t xml:space="preserve">erando datos que demuestran una alta prevalencia de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geohelmintiasis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preferente, aunque no exclusivamente, en la población infantil. Entre las comunidades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Wichi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 xml:space="preserve"> del Departamento San Martín, relevamientos realizados en el año 2001 mostraron prevalencias cercanas al 50% para </w:t>
      </w:r>
      <w:r w:rsidRPr="00096163">
        <w:rPr>
          <w:rFonts w:ascii="Times New Roman" w:hAnsi="Times New Roman" w:cs="Times New Roman"/>
          <w:i/>
          <w:sz w:val="20"/>
          <w:lang w:val="es-AR"/>
        </w:rPr>
        <w:t xml:space="preserve">Strongyloides </w:t>
      </w:r>
      <w:r w:rsidRPr="00096163">
        <w:rPr>
          <w:rFonts w:ascii="Times New Roman" w:hAnsi="Times New Roman" w:cs="Times New Roman"/>
          <w:i/>
          <w:sz w:val="20"/>
          <w:lang w:val="es-AR"/>
        </w:rPr>
        <w:lastRenderedPageBreak/>
        <w:t>stercoralis</w:t>
      </w:r>
      <w:r w:rsidRPr="00096163">
        <w:rPr>
          <w:rFonts w:ascii="Times New Roman" w:hAnsi="Times New Roman" w:cs="Times New Roman"/>
          <w:sz w:val="20"/>
          <w:lang w:val="es-AR"/>
        </w:rPr>
        <w:t xml:space="preserve"> y para </w:t>
      </w:r>
      <w:proofErr w:type="spellStart"/>
      <w:r w:rsidRPr="00096163">
        <w:rPr>
          <w:rFonts w:ascii="Times New Roman" w:hAnsi="Times New Roman" w:cs="Times New Roman"/>
          <w:sz w:val="20"/>
          <w:lang w:val="es-AR"/>
        </w:rPr>
        <w:t>Uncinarias</w:t>
      </w:r>
      <w:proofErr w:type="spellEnd"/>
      <w:r w:rsidRPr="00096163">
        <w:rPr>
          <w:rFonts w:ascii="Times New Roman" w:hAnsi="Times New Roman" w:cs="Times New Roman"/>
          <w:sz w:val="20"/>
          <w:lang w:val="es-AR"/>
        </w:rPr>
        <w:t>, menos del 10% de la población libre de parásitos intestinales e infección por múltiples especies en la mayoría de las muestras.</w:t>
      </w:r>
    </w:p>
    <w:p w:rsidR="006C7153" w:rsidRDefault="006C7153" w:rsidP="006C7153">
      <w:pPr>
        <w:jc w:val="both"/>
        <w:rPr>
          <w:rFonts w:ascii="Times New Roman" w:hAnsi="Times New Roman" w:cs="Times New Roman"/>
          <w:sz w:val="20"/>
          <w:lang w:val="es-MX"/>
        </w:rPr>
      </w:pPr>
      <w:r>
        <w:rPr>
          <w:rFonts w:ascii="Times New Roman" w:hAnsi="Times New Roman" w:cs="Times New Roman"/>
          <w:sz w:val="20"/>
          <w:lang w:val="es-AR"/>
        </w:rPr>
        <w:t>Con el objetivo de e</w:t>
      </w:r>
      <w:r w:rsidRPr="006C7153">
        <w:rPr>
          <w:rFonts w:ascii="Times New Roman" w:hAnsi="Times New Roman" w:cs="Times New Roman"/>
          <w:sz w:val="20"/>
          <w:lang w:val="es-MX"/>
        </w:rPr>
        <w:t>valuar la efectividad y eficacia de desparasitaciones masivas comunitarias sobre la prevalencia y morbilidad de la infección por geohelmintos en una comuni</w:t>
      </w:r>
      <w:r>
        <w:rPr>
          <w:rFonts w:ascii="Times New Roman" w:hAnsi="Times New Roman" w:cs="Times New Roman"/>
          <w:sz w:val="20"/>
          <w:lang w:val="es-MX"/>
        </w:rPr>
        <w:t>dad endémica del norte argentino y con el propósito definido de transferir al sistema público</w:t>
      </w:r>
      <w:r w:rsidR="00220A79">
        <w:rPr>
          <w:rFonts w:ascii="Times New Roman" w:hAnsi="Times New Roman" w:cs="Times New Roman"/>
          <w:sz w:val="20"/>
          <w:lang w:val="es-MX"/>
        </w:rPr>
        <w:t>, particularmente a programas de atención primaria de la salud</w:t>
      </w:r>
      <w:r w:rsidR="00111E63">
        <w:rPr>
          <w:rFonts w:ascii="Times New Roman" w:hAnsi="Times New Roman" w:cs="Times New Roman"/>
          <w:sz w:val="20"/>
          <w:lang w:val="es-MX"/>
        </w:rPr>
        <w:t xml:space="preserve"> (APS)</w:t>
      </w:r>
      <w:r w:rsidR="00220A79">
        <w:rPr>
          <w:rFonts w:ascii="Times New Roman" w:hAnsi="Times New Roman" w:cs="Times New Roman"/>
          <w:sz w:val="20"/>
          <w:lang w:val="es-MX"/>
        </w:rPr>
        <w:t>,</w:t>
      </w:r>
      <w:r>
        <w:rPr>
          <w:rFonts w:ascii="Times New Roman" w:hAnsi="Times New Roman" w:cs="Times New Roman"/>
          <w:sz w:val="20"/>
          <w:lang w:val="es-MX"/>
        </w:rPr>
        <w:t xml:space="preserve"> herramientas y estrategias útiles para el control de estas parasitosis, se encuentran en ejecución intervenciones comunitarias en Orán, </w:t>
      </w:r>
      <w:proofErr w:type="spellStart"/>
      <w:r>
        <w:rPr>
          <w:rFonts w:ascii="Times New Roman" w:hAnsi="Times New Roman" w:cs="Times New Roman"/>
          <w:sz w:val="20"/>
          <w:lang w:val="es-MX"/>
        </w:rPr>
        <w:t>Pichanal</w:t>
      </w:r>
      <w:proofErr w:type="spellEnd"/>
      <w:r>
        <w:rPr>
          <w:rFonts w:ascii="Times New Roman" w:hAnsi="Times New Roman" w:cs="Times New Roman"/>
          <w:sz w:val="20"/>
          <w:lang w:val="es-MX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  <w:lang w:val="es-MX"/>
        </w:rPr>
        <w:t>Tartagal</w:t>
      </w:r>
      <w:proofErr w:type="spellEnd"/>
      <w:r>
        <w:rPr>
          <w:rFonts w:ascii="Times New Roman" w:hAnsi="Times New Roman" w:cs="Times New Roman"/>
          <w:sz w:val="20"/>
          <w:lang w:val="es-MX"/>
        </w:rPr>
        <w:t xml:space="preserve"> </w:t>
      </w:r>
      <w:r w:rsidR="00220A79">
        <w:rPr>
          <w:rFonts w:ascii="Times New Roman" w:hAnsi="Times New Roman" w:cs="Times New Roman"/>
          <w:sz w:val="20"/>
          <w:lang w:val="es-MX"/>
        </w:rPr>
        <w:t xml:space="preserve">junto a los Programas de APS locales, </w:t>
      </w:r>
      <w:r>
        <w:rPr>
          <w:rFonts w:ascii="Times New Roman" w:hAnsi="Times New Roman" w:cs="Times New Roman"/>
          <w:sz w:val="20"/>
          <w:lang w:val="es-MX"/>
        </w:rPr>
        <w:t>cuyos componentes de diagnóstico, tratamiento y evaluación de impacto han identificado estrate</w:t>
      </w:r>
      <w:r w:rsidR="00111E63">
        <w:rPr>
          <w:rFonts w:ascii="Times New Roman" w:hAnsi="Times New Roman" w:cs="Times New Roman"/>
          <w:sz w:val="20"/>
          <w:lang w:val="es-MX"/>
        </w:rPr>
        <w:t>gias factibles y de alta efectividad</w:t>
      </w:r>
      <w:r>
        <w:rPr>
          <w:rFonts w:ascii="Times New Roman" w:hAnsi="Times New Roman" w:cs="Times New Roman"/>
          <w:sz w:val="20"/>
          <w:lang w:val="es-MX"/>
        </w:rPr>
        <w:t xml:space="preserve"> basadas en la utilización combinada de técnicas diagnósticas tradicionales junto a innovadoras técnicas serológicas para el diagnóstico de </w:t>
      </w:r>
      <w:r w:rsidRPr="006C7153">
        <w:rPr>
          <w:rFonts w:ascii="Times New Roman" w:hAnsi="Times New Roman" w:cs="Times New Roman"/>
          <w:i/>
          <w:sz w:val="20"/>
          <w:lang w:val="es-MX"/>
        </w:rPr>
        <w:t>S. stercoralis</w:t>
      </w:r>
      <w:r>
        <w:rPr>
          <w:rFonts w:ascii="Times New Roman" w:hAnsi="Times New Roman" w:cs="Times New Roman"/>
          <w:sz w:val="20"/>
          <w:lang w:val="es-MX"/>
        </w:rPr>
        <w:t xml:space="preserve">; el uso combinado de los antiparasitarios </w:t>
      </w:r>
      <w:proofErr w:type="spellStart"/>
      <w:r>
        <w:rPr>
          <w:rFonts w:ascii="Times New Roman" w:hAnsi="Times New Roman" w:cs="Times New Roman"/>
          <w:sz w:val="20"/>
          <w:lang w:val="es-MX"/>
        </w:rPr>
        <w:t>albendazol</w:t>
      </w:r>
      <w:proofErr w:type="spellEnd"/>
      <w:r>
        <w:rPr>
          <w:rFonts w:ascii="Times New Roman" w:hAnsi="Times New Roman" w:cs="Times New Roman"/>
          <w:sz w:val="20"/>
          <w:lang w:val="es-MX"/>
        </w:rPr>
        <w:t xml:space="preserve"> e </w:t>
      </w:r>
      <w:proofErr w:type="spellStart"/>
      <w:r>
        <w:rPr>
          <w:rFonts w:ascii="Times New Roman" w:hAnsi="Times New Roman" w:cs="Times New Roman"/>
          <w:sz w:val="20"/>
          <w:lang w:val="es-MX"/>
        </w:rPr>
        <w:t>ivermectina</w:t>
      </w:r>
      <w:proofErr w:type="spellEnd"/>
      <w:r>
        <w:rPr>
          <w:rFonts w:ascii="Times New Roman" w:hAnsi="Times New Roman" w:cs="Times New Roman"/>
          <w:sz w:val="20"/>
          <w:lang w:val="es-MX"/>
        </w:rPr>
        <w:t xml:space="preserve"> en </w:t>
      </w:r>
      <w:proofErr w:type="spellStart"/>
      <w:r>
        <w:rPr>
          <w:rFonts w:ascii="Times New Roman" w:hAnsi="Times New Roman" w:cs="Times New Roman"/>
          <w:sz w:val="20"/>
          <w:lang w:val="es-MX"/>
        </w:rPr>
        <w:t>monodosis</w:t>
      </w:r>
      <w:proofErr w:type="spellEnd"/>
      <w:r w:rsidR="00111E63">
        <w:rPr>
          <w:rFonts w:ascii="Times New Roman" w:hAnsi="Times New Roman" w:cs="Times New Roman"/>
          <w:sz w:val="20"/>
          <w:lang w:val="es-MX"/>
        </w:rPr>
        <w:t>, y la medición de prevalencia,</w:t>
      </w:r>
      <w:r>
        <w:rPr>
          <w:rFonts w:ascii="Times New Roman" w:hAnsi="Times New Roman" w:cs="Times New Roman"/>
          <w:sz w:val="20"/>
          <w:lang w:val="es-MX"/>
        </w:rPr>
        <w:t xml:space="preserve"> carga parasitaria</w:t>
      </w:r>
      <w:r w:rsidR="00111E63">
        <w:rPr>
          <w:rFonts w:ascii="Times New Roman" w:hAnsi="Times New Roman" w:cs="Times New Roman"/>
          <w:sz w:val="20"/>
          <w:lang w:val="es-MX"/>
        </w:rPr>
        <w:t xml:space="preserve"> y anemia en r</w:t>
      </w:r>
      <w:r>
        <w:rPr>
          <w:rFonts w:ascii="Times New Roman" w:hAnsi="Times New Roman" w:cs="Times New Roman"/>
          <w:sz w:val="20"/>
          <w:lang w:val="es-MX"/>
        </w:rPr>
        <w:t xml:space="preserve">ondas de tratamiento </w:t>
      </w:r>
      <w:r w:rsidR="00111E63">
        <w:rPr>
          <w:rFonts w:ascii="Times New Roman" w:hAnsi="Times New Roman" w:cs="Times New Roman"/>
          <w:sz w:val="20"/>
          <w:lang w:val="es-MX"/>
        </w:rPr>
        <w:t>sucesivas</w:t>
      </w:r>
      <w:r>
        <w:rPr>
          <w:rFonts w:ascii="Times New Roman" w:hAnsi="Times New Roman" w:cs="Times New Roman"/>
          <w:sz w:val="20"/>
          <w:lang w:val="es-MX"/>
        </w:rPr>
        <w:t>.</w:t>
      </w:r>
    </w:p>
    <w:p w:rsidR="006C7153" w:rsidRDefault="006C7153" w:rsidP="006C7153">
      <w:pPr>
        <w:jc w:val="both"/>
        <w:rPr>
          <w:rFonts w:ascii="Times New Roman" w:hAnsi="Times New Roman" w:cs="Times New Roman"/>
          <w:sz w:val="20"/>
          <w:lang w:val="es-MX"/>
        </w:rPr>
      </w:pPr>
      <w:r>
        <w:rPr>
          <w:rFonts w:ascii="Times New Roman" w:hAnsi="Times New Roman" w:cs="Times New Roman"/>
          <w:sz w:val="20"/>
          <w:lang w:val="es-MX"/>
        </w:rPr>
        <w:t>Los hallazgos y conclusiones preliminares más destacadas de estas intervenciones han mostrado alta aceptabilidad</w:t>
      </w:r>
      <w:r w:rsidR="00220A79">
        <w:rPr>
          <w:rFonts w:ascii="Times New Roman" w:hAnsi="Times New Roman" w:cs="Times New Roman"/>
          <w:sz w:val="20"/>
          <w:lang w:val="es-MX"/>
        </w:rPr>
        <w:t xml:space="preserve"> por parte de la población, muy buen perfil de seguridad de los medicamento y un fuerte impacto en prevalencia y en los marcadores hematológicos de anemia; con niveles de cobertura comunitario de al menos 80% en un total de aproximadamente 9000 personas.</w:t>
      </w:r>
    </w:p>
    <w:p w:rsidR="00220A79" w:rsidRPr="006C7153" w:rsidRDefault="00220A79" w:rsidP="006C7153">
      <w:pPr>
        <w:jc w:val="both"/>
        <w:rPr>
          <w:rFonts w:ascii="Times New Roman" w:hAnsi="Times New Roman" w:cs="Times New Roman"/>
          <w:sz w:val="20"/>
          <w:lang w:val="es-AR"/>
        </w:rPr>
      </w:pPr>
      <w:r>
        <w:rPr>
          <w:rFonts w:ascii="Times New Roman" w:hAnsi="Times New Roman" w:cs="Times New Roman"/>
          <w:sz w:val="20"/>
          <w:lang w:val="es-MX"/>
        </w:rPr>
        <w:t xml:space="preserve">La continuidad de las actividades y sus adaptación a los distintos contextos que permitan el escalado de estos programas a nivel nacional, el monitoreo </w:t>
      </w:r>
      <w:r w:rsidR="00111E63">
        <w:rPr>
          <w:rFonts w:ascii="Times New Roman" w:hAnsi="Times New Roman" w:cs="Times New Roman"/>
          <w:sz w:val="20"/>
          <w:lang w:val="es-MX"/>
        </w:rPr>
        <w:t>d</w:t>
      </w:r>
      <w:r>
        <w:rPr>
          <w:rFonts w:ascii="Times New Roman" w:hAnsi="Times New Roman" w:cs="Times New Roman"/>
          <w:sz w:val="20"/>
          <w:lang w:val="es-MX"/>
        </w:rPr>
        <w:t>e resistencia a antihelmínticos y las mejoras estructurales que permitan la interrupción de transmisión, son desafíos pendientes pero en agenda para ser abordados.</w:t>
      </w:r>
    </w:p>
    <w:p w:rsidR="00096163" w:rsidRPr="006C7153" w:rsidRDefault="00096163" w:rsidP="00096163">
      <w:pPr>
        <w:jc w:val="both"/>
        <w:rPr>
          <w:rFonts w:ascii="Times New Roman" w:hAnsi="Times New Roman" w:cs="Times New Roman"/>
          <w:sz w:val="20"/>
          <w:szCs w:val="24"/>
          <w:lang w:val="es-MX"/>
        </w:rPr>
      </w:pPr>
    </w:p>
    <w:p w:rsidR="00096163" w:rsidRPr="00096163" w:rsidRDefault="00096163" w:rsidP="00096163">
      <w:pPr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s-AR"/>
        </w:rPr>
      </w:pPr>
    </w:p>
    <w:p w:rsidR="00096163" w:rsidRDefault="00096163" w:rsidP="00972782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</w:pPr>
    </w:p>
    <w:p w:rsidR="00972782" w:rsidRDefault="00972782" w:rsidP="00972782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</w:pPr>
    </w:p>
    <w:p w:rsidR="009C7949" w:rsidRPr="009C7949" w:rsidRDefault="009C7949" w:rsidP="009C7949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s-AR"/>
        </w:rPr>
      </w:pPr>
    </w:p>
    <w:p w:rsidR="00A67098" w:rsidRPr="00A67098" w:rsidRDefault="00A67098" w:rsidP="00E72F7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</w:p>
    <w:sectPr w:rsidR="00A67098" w:rsidRPr="00A67098" w:rsidSect="000E4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2F77"/>
    <w:rsid w:val="00096163"/>
    <w:rsid w:val="000E4AA4"/>
    <w:rsid w:val="00111E63"/>
    <w:rsid w:val="002022EA"/>
    <w:rsid w:val="00220A79"/>
    <w:rsid w:val="00535C4B"/>
    <w:rsid w:val="006C7153"/>
    <w:rsid w:val="00717108"/>
    <w:rsid w:val="0073479E"/>
    <w:rsid w:val="00972782"/>
    <w:rsid w:val="00984842"/>
    <w:rsid w:val="009C7949"/>
    <w:rsid w:val="009D03E7"/>
    <w:rsid w:val="00A253ED"/>
    <w:rsid w:val="00A67098"/>
    <w:rsid w:val="00E725D9"/>
    <w:rsid w:val="00E72F77"/>
    <w:rsid w:val="00F8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A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</cp:revision>
  <dcterms:created xsi:type="dcterms:W3CDTF">2014-04-24T02:18:00Z</dcterms:created>
  <dcterms:modified xsi:type="dcterms:W3CDTF">2014-04-24T02:18:00Z</dcterms:modified>
</cp:coreProperties>
</file>