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5E4" w:rsidRDefault="008A65E4" w:rsidP="0019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5E4" w:rsidRDefault="008A65E4" w:rsidP="0019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5E4" w:rsidRDefault="008A65E4" w:rsidP="0019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Bartonelosis </w:t>
      </w:r>
      <w:r w:rsidRPr="00074481">
        <w:rPr>
          <w:rFonts w:ascii="Times New Roman" w:hAnsi="Times New Roman" w:cs="Times New Roman"/>
          <w:sz w:val="28"/>
          <w:szCs w:val="28"/>
        </w:rPr>
        <w:t>en pacientes inmunocompetentes e inmunocomprometido</w:t>
      </w:r>
      <w:r>
        <w:rPr>
          <w:rFonts w:ascii="Times New Roman" w:hAnsi="Times New Roman" w:cs="Times New Roman"/>
          <w:sz w:val="28"/>
          <w:szCs w:val="28"/>
        </w:rPr>
        <w:t>s y su diagn</w:t>
      </w:r>
      <w:r w:rsidRPr="005F32CA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>stico por PCR.</w:t>
      </w:r>
    </w:p>
    <w:p w:rsidR="008A65E4" w:rsidRDefault="008A65E4" w:rsidP="0019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5E4" w:rsidRDefault="008A65E4" w:rsidP="00192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5DF8">
        <w:rPr>
          <w:rFonts w:ascii="Times New Roman" w:hAnsi="Times New Roman" w:cs="Times New Roman"/>
          <w:sz w:val="24"/>
          <w:szCs w:val="24"/>
          <w:lang w:val="en-US"/>
        </w:rPr>
        <w:t>Bartonellosis in inmunocompetent and inmunocompromised patients and diagnosis by PCR.</w:t>
      </w:r>
    </w:p>
    <w:p w:rsidR="008A65E4" w:rsidRPr="005F5DF8" w:rsidRDefault="008A65E4" w:rsidP="00192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65E4" w:rsidRDefault="008A65E4" w:rsidP="005F5D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2B42">
        <w:rPr>
          <w:rFonts w:ascii="Times New Roman" w:hAnsi="Times New Roman" w:cs="Times New Roman"/>
          <w:sz w:val="20"/>
          <w:szCs w:val="20"/>
          <w:u w:val="single"/>
        </w:rPr>
        <w:t>Jorge Correa</w:t>
      </w:r>
      <w:r w:rsidRPr="00192B42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, Sergio Giamperetti</w:t>
      </w:r>
      <w:r w:rsidRPr="00192B4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, Yamila Romer</w:t>
      </w:r>
      <w:r w:rsidRPr="00192B4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, Natalia Ricardo</w:t>
      </w:r>
      <w:r w:rsidRPr="00192B4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, Ornela Trucco</w:t>
      </w:r>
      <w:r w:rsidRPr="00192B4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, Vanesa Kaneshiro</w:t>
      </w:r>
      <w:r w:rsidRPr="00192B4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, Gladys Poustis</w:t>
      </w:r>
      <w:r w:rsidRPr="00192B4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, Alfredo Seijo</w:t>
      </w:r>
      <w:r w:rsidRPr="00192B4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2B42">
        <w:rPr>
          <w:rFonts w:ascii="Times New Roman" w:hAnsi="Times New Roman" w:cs="Times New Roman"/>
          <w:sz w:val="20"/>
          <w:szCs w:val="20"/>
        </w:rPr>
        <w:t>.</w:t>
      </w:r>
    </w:p>
    <w:p w:rsidR="008A65E4" w:rsidRPr="00192B42" w:rsidRDefault="008A65E4" w:rsidP="005F5DF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Servicio de Zoonosis, Hospital de Infecciosas “Francisco Javier Muñiz”</w:t>
      </w:r>
    </w:p>
    <w:p w:rsidR="008A65E4" w:rsidRDefault="008A65E4" w:rsidP="005F5DF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Uspallata 2272, CP 1282 CABA, Argentina-</w:t>
      </w:r>
    </w:p>
    <w:p w:rsidR="008A65E4" w:rsidRDefault="008A65E4" w:rsidP="005F5DF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4C226D">
          <w:rPr>
            <w:rStyle w:val="Hyperlink"/>
            <w:rFonts w:ascii="Times New Roman" w:hAnsi="Times New Roman" w:cs="Times New Roman"/>
            <w:sz w:val="20"/>
            <w:szCs w:val="20"/>
          </w:rPr>
          <w:t>jercorrea@gmail.com</w:t>
        </w:r>
      </w:hyperlink>
    </w:p>
    <w:p w:rsidR="008A65E4" w:rsidRPr="00192B42" w:rsidRDefault="008A65E4" w:rsidP="005F5DF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A65E4" w:rsidRPr="005F5DF8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DF8">
        <w:rPr>
          <w:rFonts w:ascii="Times New Roman" w:hAnsi="Times New Roman" w:cs="Times New Roman"/>
          <w:sz w:val="20"/>
          <w:szCs w:val="20"/>
        </w:rPr>
        <w:t xml:space="preserve">PALABRAS CLAVES: </w:t>
      </w:r>
      <w:r w:rsidRPr="005F5DF8">
        <w:rPr>
          <w:rFonts w:ascii="Times New Roman" w:hAnsi="Times New Roman" w:cs="Times New Roman"/>
          <w:i/>
          <w:iCs/>
          <w:sz w:val="20"/>
          <w:szCs w:val="20"/>
        </w:rPr>
        <w:t>Bartonella sp.</w:t>
      </w:r>
      <w:r w:rsidRPr="005F5DF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Pr="005F5DF8">
        <w:rPr>
          <w:rFonts w:ascii="Times New Roman" w:hAnsi="Times New Roman" w:cs="Times New Roman"/>
          <w:sz w:val="20"/>
          <w:szCs w:val="20"/>
        </w:rPr>
        <w:t>Diagnóstico</w:t>
      </w:r>
      <w:bookmarkEnd w:id="0"/>
      <w:r w:rsidRPr="005F5DF8">
        <w:rPr>
          <w:rFonts w:ascii="Times New Roman" w:hAnsi="Times New Roman" w:cs="Times New Roman"/>
          <w:sz w:val="20"/>
          <w:szCs w:val="20"/>
        </w:rPr>
        <w:t>. PCR.</w:t>
      </w:r>
      <w:r w:rsidRPr="005F5DF8">
        <w:rPr>
          <w:rFonts w:ascii="Times New Roman" w:hAnsi="Times New Roman" w:cs="Times New Roman"/>
          <w:sz w:val="20"/>
          <w:szCs w:val="20"/>
        </w:rPr>
        <w:tab/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E4" w:rsidRDefault="008A65E4" w:rsidP="00F1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7C">
        <w:rPr>
          <w:rFonts w:ascii="Times New Roman" w:hAnsi="Times New Roman" w:cs="Times New Roman"/>
          <w:b/>
          <w:bCs/>
          <w:sz w:val="24"/>
          <w:szCs w:val="24"/>
        </w:rPr>
        <w:t>INTRODUCCIÓN: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Bartonella sp</w:t>
      </w:r>
      <w:r w:rsidRPr="009A663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son bacilos gram negativos, </w:t>
      </w:r>
      <w:r w:rsidRPr="00832CC8">
        <w:rPr>
          <w:rFonts w:ascii="Times New Roman" w:hAnsi="Times New Roman" w:cs="Times New Roman"/>
          <w:sz w:val="24"/>
          <w:szCs w:val="24"/>
        </w:rPr>
        <w:t>intracelulares obligados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32CC8">
        <w:rPr>
          <w:rFonts w:ascii="Times New Roman" w:hAnsi="Times New Roman" w:cs="Times New Roman"/>
          <w:sz w:val="24"/>
          <w:szCs w:val="24"/>
        </w:rPr>
        <w:t>ertenecen al grupo Proteobacterias α</w:t>
      </w:r>
      <w:r w:rsidRPr="00832C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2CC8">
        <w:rPr>
          <w:rFonts w:ascii="Times New Roman" w:hAnsi="Times New Roman" w:cs="Times New Roman"/>
          <w:sz w:val="24"/>
          <w:szCs w:val="24"/>
        </w:rPr>
        <w:t xml:space="preserve">, emparentados filogenéticamente con el género </w:t>
      </w:r>
      <w:r w:rsidRPr="00832CC8">
        <w:rPr>
          <w:rFonts w:ascii="Times New Roman" w:hAnsi="Times New Roman" w:cs="Times New Roman"/>
          <w:i/>
          <w:iCs/>
          <w:sz w:val="24"/>
          <w:szCs w:val="24"/>
        </w:rPr>
        <w:t>Brucella sp.</w:t>
      </w:r>
      <w:r w:rsidRPr="0083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832CC8">
        <w:rPr>
          <w:rFonts w:ascii="Times New Roman" w:hAnsi="Times New Roman" w:cs="Times New Roman"/>
          <w:sz w:val="24"/>
          <w:szCs w:val="24"/>
        </w:rPr>
        <w:t>mecanismo de</w:t>
      </w:r>
      <w:r>
        <w:rPr>
          <w:rFonts w:ascii="Times New Roman" w:hAnsi="Times New Roman" w:cs="Times New Roman"/>
          <w:sz w:val="24"/>
          <w:szCs w:val="24"/>
        </w:rPr>
        <w:t xml:space="preserve"> patogénesis está relacionado con la proliferación vascular a través de  la liberación de factores antiapoptóticos y de crecimiento vascular principalmente, teniendo como células target a los glóbulos rojos y endotelio vascular.</w:t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especies más importantes, que afectan al ser humano, son: </w:t>
      </w:r>
      <w:r>
        <w:rPr>
          <w:rFonts w:ascii="Times New Roman" w:hAnsi="Times New Roman" w:cs="Times New Roman"/>
          <w:i/>
          <w:iCs/>
          <w:sz w:val="24"/>
          <w:szCs w:val="24"/>
        </w:rPr>
        <w:t>B. henselae,</w:t>
      </w:r>
      <w:r w:rsidRPr="00472D43">
        <w:rPr>
          <w:rFonts w:ascii="Times New Roman" w:hAnsi="Times New Roman" w:cs="Times New Roman"/>
          <w:sz w:val="24"/>
          <w:szCs w:val="24"/>
        </w:rPr>
        <w:t xml:space="preserve"> agente </w:t>
      </w:r>
      <w:r>
        <w:rPr>
          <w:rFonts w:ascii="Times New Roman" w:hAnsi="Times New Roman" w:cs="Times New Roman"/>
          <w:sz w:val="24"/>
          <w:szCs w:val="24"/>
        </w:rPr>
        <w:t>etiológico</w:t>
      </w:r>
      <w:r w:rsidRPr="00472D43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la enfermedad por arañazo de gato (AG) y síndrome linfangítico nodular (SLN);</w:t>
      </w:r>
      <w:r w:rsidRPr="00472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B. quintana, </w:t>
      </w:r>
      <w:r>
        <w:rPr>
          <w:rFonts w:ascii="Times New Roman" w:hAnsi="Times New Roman" w:cs="Times New Roman"/>
          <w:sz w:val="24"/>
          <w:szCs w:val="24"/>
        </w:rPr>
        <w:t xml:space="preserve">causa de bacteriemias agudas y crónicas;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B. bacilliformis, </w:t>
      </w:r>
      <w:r>
        <w:rPr>
          <w:rFonts w:ascii="Times New Roman" w:hAnsi="Times New Roman" w:cs="Times New Roman"/>
          <w:sz w:val="24"/>
          <w:szCs w:val="24"/>
        </w:rPr>
        <w:t>causa de la fiebre de Oroya, enfermedad de Carrión o verruga peruana. En pacientes inmunosuprimidos, principalmente HIV positivos, con un recuento de linfocitos T CD4</w:t>
      </w:r>
      <w:r w:rsidRPr="00C65CAF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B"/>
      </w:r>
      <w:r>
        <w:rPr>
          <w:rFonts w:ascii="Times New Roman" w:hAnsi="Times New Roman" w:cs="Times New Roman"/>
          <w:sz w:val="24"/>
          <w:szCs w:val="24"/>
        </w:rPr>
        <w:t xml:space="preserve"> menor a 100 células/µl, las infecciones por </w:t>
      </w:r>
      <w:r w:rsidRPr="00DC755E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C755E">
        <w:rPr>
          <w:rFonts w:ascii="Times New Roman" w:hAnsi="Times New Roman" w:cs="Times New Roman"/>
          <w:i/>
          <w:iCs/>
          <w:sz w:val="24"/>
          <w:szCs w:val="24"/>
        </w:rPr>
        <w:t xml:space="preserve"> henselae 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r w:rsidRPr="00DC755E">
        <w:rPr>
          <w:rFonts w:ascii="Times New Roman" w:hAnsi="Times New Roman" w:cs="Times New Roman"/>
          <w:i/>
          <w:iCs/>
          <w:sz w:val="24"/>
          <w:szCs w:val="24"/>
        </w:rPr>
        <w:t>quintana</w:t>
      </w:r>
      <w:r>
        <w:rPr>
          <w:rFonts w:ascii="Times New Roman" w:hAnsi="Times New Roman" w:cs="Times New Roman"/>
          <w:sz w:val="24"/>
          <w:szCs w:val="24"/>
        </w:rPr>
        <w:t xml:space="preserve">, producen granulomas vasculares denominados angiomatosis bacilar (AB) y peliosis hepato-esplénica (PHE) y ganglionar, la formación de quistes con contenido hemático en el parénquima de estos órganos. El diagnóstico es dificultoso, la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histopatología es muy útil aunque es no patognomónica, la tinción de Warthin Starry evidencia la presencia de bacilos sólo en un 30% de los casos. La serología, es el método más difundido, sin embargo, </w:t>
      </w:r>
      <w:r w:rsidRPr="00D10F8B">
        <w:rPr>
          <w:rFonts w:ascii="Times New Roman" w:hAnsi="Times New Roman" w:cs="Times New Roman"/>
          <w:sz w:val="24"/>
          <w:szCs w:val="24"/>
          <w:lang w:val="es-ES_tradnl"/>
        </w:rPr>
        <w:t>presenta serorreactividad cruzada</w:t>
      </w:r>
      <w:r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con otras bacterias intracelulares (</w:t>
      </w:r>
      <w:r w:rsidRPr="00C6773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. burnetti</w:t>
      </w:r>
      <w:r w:rsidRPr="00C6773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, Brucella</w:t>
      </w:r>
      <w:r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spp, Chlamydophila spp.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). Los cultivos tradicionales presentan dificultades, deben realizarse durante periodos </w:t>
      </w:r>
      <w:r w:rsidRPr="00DE07E8">
        <w:rPr>
          <w:rFonts w:ascii="Times New Roman" w:hAnsi="Times New Roman" w:cs="Times New Roman"/>
          <w:sz w:val="24"/>
          <w:szCs w:val="24"/>
          <w:lang w:val="es-ES_tradnl"/>
        </w:rPr>
        <w:t>prolongados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por lo menos 6 semanas o cultivos en linajes celulares. Debido a las dificultades planteadas los métodos moleculares hacen al diagnóstico de forma rápida y con gran especificidad. La reacción en cadena de la polimerasa (PCR) es una técnica sumamente ventajosa para establecer el diagnóstico de bartonelosis. </w:t>
      </w:r>
      <w:r>
        <w:rPr>
          <w:rFonts w:ascii="Times New Roman" w:hAnsi="Times New Roman" w:cs="Times New Roman"/>
          <w:sz w:val="24"/>
          <w:szCs w:val="24"/>
        </w:rPr>
        <w:t xml:space="preserve"> Los objetivos planteados son: 1-Analisis epidemiológico, clínico y perfil bioquímico de pacientes afectados por </w:t>
      </w:r>
      <w:r w:rsidRPr="00507AA8">
        <w:rPr>
          <w:rFonts w:ascii="Times New Roman" w:hAnsi="Times New Roman" w:cs="Times New Roman"/>
          <w:i/>
          <w:iCs/>
          <w:sz w:val="24"/>
          <w:szCs w:val="24"/>
        </w:rPr>
        <w:t>Bartonella sp.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2-Estudio por PCR como una nueva herramienta para diagnóstico de </w:t>
      </w:r>
      <w:r w:rsidRPr="005F32CA">
        <w:rPr>
          <w:rFonts w:ascii="Times New Roman" w:hAnsi="Times New Roman" w:cs="Times New Roman"/>
          <w:i/>
          <w:iCs/>
          <w:sz w:val="24"/>
          <w:szCs w:val="24"/>
        </w:rPr>
        <w:t>Bartonella 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86">
        <w:rPr>
          <w:rFonts w:ascii="Times New Roman" w:hAnsi="Times New Roman" w:cs="Times New Roman"/>
          <w:b/>
          <w:bCs/>
          <w:sz w:val="24"/>
          <w:szCs w:val="24"/>
        </w:rPr>
        <w:t>MATERIALES Y MÉTODOS:</w:t>
      </w:r>
      <w:r>
        <w:rPr>
          <w:rFonts w:ascii="Times New Roman" w:hAnsi="Times New Roman" w:cs="Times New Roman"/>
          <w:sz w:val="24"/>
          <w:szCs w:val="24"/>
        </w:rPr>
        <w:t xml:space="preserve"> Estudio retrospectivo y descriptivo de 12 pacientes, atendidos por consultorios externos en el periodo 2011-2014,  con sospecha de </w:t>
      </w:r>
      <w:r w:rsidRPr="00726FC4">
        <w:rPr>
          <w:rFonts w:ascii="Times New Roman" w:hAnsi="Times New Roman" w:cs="Times New Roman"/>
          <w:i/>
          <w:iCs/>
          <w:sz w:val="24"/>
          <w:szCs w:val="24"/>
        </w:rPr>
        <w:t>Bartonella spp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67730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diagnóstico se estableció luego de la presunción epidemiológica e infectológica y se confirmó mediante PCR. Los materiales clínicos obtenidos para el diagnóstico fueron: la punción de lesiones de piel, adenopatías y sangre entera. </w:t>
      </w:r>
    </w:p>
    <w:p w:rsidR="008A65E4" w:rsidRPr="00980F45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Procesamiento de las muestras y diagnóstico molecular por PCR: Extracción de ADN con el kit de extracción de ADN NucleoSpin Tissue (Macherey-Nagel). Fueron usados un total de hasta 25 mg de tejido o 200 µl de sangre con EDTA. Luego se realizó PCR multiplex con 2 conjuntos de cebadores: </w:t>
      </w:r>
      <w:r w:rsidRPr="00980F45">
        <w:rPr>
          <w:rFonts w:ascii="Times New Roman" w:hAnsi="Times New Roman" w:cs="Times New Roman"/>
          <w:sz w:val="24"/>
          <w:szCs w:val="24"/>
        </w:rPr>
        <w:t>(F: forward ó directo, R: reverse ó indirecto)</w:t>
      </w:r>
      <w:r>
        <w:rPr>
          <w:rFonts w:ascii="Times New Roman" w:hAnsi="Times New Roman" w:cs="Times New Roman"/>
          <w:sz w:val="24"/>
          <w:szCs w:val="24"/>
        </w:rPr>
        <w:t xml:space="preserve"> un cebador F PAPn1 y uno R PAPn2 los cuales generan producto de 275 pb. y los cebadores PAPn1 y el R PAPns2 que generan otro de 209 pb. (Amplifican regiones del gen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pap31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15BAB">
        <w:rPr>
          <w:rFonts w:ascii="Times New Roman" w:hAnsi="Times New Roman" w:cs="Times New Roman"/>
          <w:i/>
          <w:iCs/>
          <w:sz w:val="24"/>
          <w:szCs w:val="24"/>
        </w:rPr>
        <w:t>Bartonella sp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3A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Secuencias de los cebadores: PAPn1: 5’-</w:t>
      </w:r>
      <w:r w:rsidRPr="00A21667">
        <w:rPr>
          <w:rFonts w:ascii="Times New Roman" w:hAnsi="Times New Roman" w:cs="Times New Roman"/>
          <w:color w:val="000000"/>
          <w:sz w:val="24"/>
          <w:szCs w:val="24"/>
        </w:rPr>
        <w:t>TTCTAGGAGTTGAAACCGAT-3’</w:t>
      </w:r>
      <w:r>
        <w:rPr>
          <w:rFonts w:ascii="Times New Roman" w:hAnsi="Times New Roman" w:cs="Times New Roman"/>
          <w:color w:val="000000"/>
          <w:sz w:val="24"/>
          <w:szCs w:val="24"/>
        </w:rPr>
        <w:t>, PAPn2: 5’-</w:t>
      </w:r>
      <w:r w:rsidRPr="00A21667">
        <w:rPr>
          <w:rFonts w:ascii="Times New Roman" w:hAnsi="Times New Roman" w:cs="Times New Roman"/>
          <w:color w:val="000000"/>
          <w:sz w:val="24"/>
          <w:szCs w:val="24"/>
        </w:rPr>
        <w:t>GAAACACCACCAGCAACATA-3’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PAPns2: 5’-</w:t>
      </w:r>
      <w:r w:rsidRPr="008010F1">
        <w:rPr>
          <w:rFonts w:ascii="Times New Roman" w:hAnsi="Times New Roman" w:cs="Times New Roman"/>
          <w:color w:val="000000"/>
          <w:sz w:val="24"/>
          <w:szCs w:val="24"/>
        </w:rPr>
        <w:t>GCACCAGACCATTTTTCCTT-3’</w:t>
      </w:r>
      <w:r>
        <w:rPr>
          <w:rFonts w:ascii="Times New Roman" w:hAnsi="Times New Roman" w:cs="Times New Roman"/>
          <w:color w:val="000000"/>
          <w:sz w:val="24"/>
          <w:szCs w:val="24"/>
        </w:rPr>
        <w:t>. Para la PCR se utiliz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ADN 8 </w:t>
      </w:r>
      <w:r>
        <w:rPr>
          <w:rFonts w:ascii="Times New Roman" w:hAnsi="Times New Roman" w:cs="Times New Roman"/>
          <w:sz w:val="24"/>
          <w:szCs w:val="24"/>
        </w:rPr>
        <w:t>µl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0,5 </w:t>
      </w:r>
      <w:r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color w:val="000000"/>
          <w:sz w:val="24"/>
          <w:szCs w:val="24"/>
        </w:rPr>
        <w:t>M de cada primer, 0,5 mM de dNTPs, 5 U/</w:t>
      </w:r>
      <w:r w:rsidRPr="00136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µl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TAQpol  (Fermentas), Buffer de reacción (10X) y 2,5 mM de MgCl</w:t>
      </w:r>
      <w:r w:rsidRPr="00136EF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 Se trabaj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un volumen final de 40 </w:t>
      </w:r>
      <w:r>
        <w:rPr>
          <w:rFonts w:ascii="Times New Roman" w:hAnsi="Times New Roman" w:cs="Times New Roman"/>
          <w:sz w:val="24"/>
          <w:szCs w:val="24"/>
        </w:rPr>
        <w:t>µl</w:t>
      </w:r>
      <w:r>
        <w:rPr>
          <w:rFonts w:ascii="Times New Roman" w:hAnsi="Times New Roman" w:cs="Times New Roman"/>
          <w:color w:val="000000"/>
          <w:sz w:val="24"/>
          <w:szCs w:val="24"/>
        </w:rPr>
        <w:t>. La PCR fue llevada a cabo con termociclador Bio-Rad MyCycler con una desnaturalización inicial de 3 min a 94°C más 35 ciclos de 20 s de 94°C, 25 s de 57°C y 30 s a 72°C, con una extensión final de 3 min a 72°C.</w:t>
      </w:r>
    </w:p>
    <w:p w:rsidR="008A65E4" w:rsidRPr="00315BAB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productos de PCR fueron visualizados por electroforesis en gel de agarosa al 1,5%, usando colorante intercalante de bases GelRed (Biotium). </w:t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214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estudiaron 12 pacientes con diagnóstico de </w:t>
      </w:r>
      <w:r w:rsidRPr="001153CE">
        <w:rPr>
          <w:rFonts w:ascii="Times New Roman" w:hAnsi="Times New Roman" w:cs="Times New Roman"/>
          <w:i/>
          <w:iCs/>
          <w:sz w:val="24"/>
          <w:szCs w:val="24"/>
        </w:rPr>
        <w:t>Bartonella spp.</w:t>
      </w:r>
      <w:r>
        <w:rPr>
          <w:rFonts w:ascii="Times New Roman" w:hAnsi="Times New Roman" w:cs="Times New Roman"/>
          <w:sz w:val="24"/>
          <w:szCs w:val="24"/>
        </w:rPr>
        <w:t xml:space="preserve"> por PCR, seis (50%) fueron de sexo masculino. La mediana de edad fue de 28 años (rango 4-73). Todos los pacientes provenían de zonas urbanas. Ocho pacientes (66,6%) tuvieron contacto previo con gatos, 3/12 (25%) refirieron contacto con gatos y perros mientras que un paciente (8,3%) presento sólo contacto con perros. Solo una paciente padecía riesgo ocupacional, siendo médica veterinaria </w:t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motivos de consulta más frecuentemente observados fueron: lesiones en piel en 9/12 pacientes (75%), adenopatías en 9/12 (75%), SLN 5/12 (41,6%). Los índices hematimétricos y perfil bioquímico fueron obtenidos en 9 pacientes, las medianas fueron las siguientes: hematocrito 36 (33-43),  leucocitos 6500 cel/µl (3000 – 17200), plaquetas 247000/µ (156000-359000), TGO 38 (16-48), TGP 32 (10-99), FAL 152 (92-1996). </w:t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>Cinco pacientes (41,6%) presentaron serología reactiva para HIV con mediana de recuento de linfocitos T cd4: 54 cels. /µl (7-120). 4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/5 pacientes (80%) recibía TARGA y solo uno no recibía profilaxis para </w:t>
      </w:r>
      <w:r w:rsidRPr="0050394A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Pneumocystis jiroveci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(PJP) con trimetoprima sulfametoxazol (TMS). De los 5 pacientes HIV reactivos, 4 (80%) presentaron infecciones concomitantes, tres tuvieron Sarcoma de Kaposi (SK) y el restante presentó Histoplasmosis diseminada (HD). Una paciente pediátrica HIV no reactiva tuvo coinfección con Tuberculosis (TBC) con afectación ganglionar. </w:t>
      </w:r>
    </w:p>
    <w:p w:rsidR="008A65E4" w:rsidRPr="002F3285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Los síndromes clínicos observados fueron</w:t>
      </w:r>
      <w:r>
        <w:rPr>
          <w:rFonts w:ascii="Times New Roman" w:hAnsi="Times New Roman" w:cs="Times New Roman"/>
          <w:sz w:val="24"/>
          <w:szCs w:val="24"/>
        </w:rPr>
        <w:t xml:space="preserve"> AB en 5 pacientes (41,6%), todos con serología para HIV reactiva y de los cuales en un 80% presentaron PHE. En 4 pacientes (33,3%) se observó como presentación clínica el arañazo de gato y los tres pacientes restantes (25%) presento SLN. Las muestras clínicas fueron obtenidas para su diagnóstico mediante</w:t>
      </w:r>
      <w:r w:rsidRPr="002F3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punción y aspiración de las lesiones de piel y/o adenopatías o por extracción sanguínea.</w:t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D7">
        <w:rPr>
          <w:rFonts w:ascii="Times New Roman" w:hAnsi="Times New Roman" w:cs="Times New Roman"/>
          <w:b/>
          <w:bCs/>
          <w:sz w:val="24"/>
          <w:szCs w:val="24"/>
        </w:rPr>
        <w:t>DISCUSIÓN:</w:t>
      </w:r>
      <w:r>
        <w:rPr>
          <w:rFonts w:ascii="Times New Roman" w:hAnsi="Times New Roman" w:cs="Times New Roman"/>
          <w:sz w:val="24"/>
          <w:szCs w:val="24"/>
        </w:rPr>
        <w:t xml:space="preserve"> En este trabajo el diagnostico de Bartonelosis se pudo vincular con la exposición a gatos parasitados (</w:t>
      </w:r>
      <w:r w:rsidRPr="00265A64">
        <w:rPr>
          <w:rFonts w:ascii="Times New Roman" w:hAnsi="Times New Roman" w:cs="Times New Roman"/>
          <w:i/>
          <w:iCs/>
          <w:sz w:val="24"/>
          <w:szCs w:val="24"/>
        </w:rPr>
        <w:t>C. felis</w:t>
      </w:r>
      <w:r>
        <w:rPr>
          <w:rFonts w:ascii="Times New Roman" w:hAnsi="Times New Roman" w:cs="Times New Roman"/>
          <w:sz w:val="24"/>
          <w:szCs w:val="24"/>
        </w:rPr>
        <w:t>) y/o perros concomitantemente en 11/12 pacientes y solo un paciente manifestó sólo contacto con perros, en este caso</w:t>
      </w:r>
      <w:r w:rsidRPr="00F128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128D7">
        <w:rPr>
          <w:rFonts w:ascii="Times New Roman" w:hAnsi="Times New Roman" w:cs="Times New Roman"/>
          <w:sz w:val="24"/>
          <w:szCs w:val="24"/>
        </w:rPr>
        <w:t xml:space="preserve">probablemente </w:t>
      </w:r>
      <w:r w:rsidRPr="00F128D7">
        <w:rPr>
          <w:rFonts w:ascii="Times New Roman" w:hAnsi="Times New Roman" w:cs="Times New Roman"/>
          <w:i/>
          <w:iCs/>
          <w:sz w:val="24"/>
          <w:szCs w:val="24"/>
        </w:rPr>
        <w:t>Ctenocephalides canis</w:t>
      </w:r>
      <w:r w:rsidRPr="00F128D7">
        <w:rPr>
          <w:rFonts w:ascii="Times New Roman" w:hAnsi="Times New Roman" w:cs="Times New Roman"/>
          <w:sz w:val="24"/>
          <w:szCs w:val="24"/>
        </w:rPr>
        <w:t xml:space="preserve"> sea su vector.</w:t>
      </w:r>
      <w:r>
        <w:rPr>
          <w:rFonts w:ascii="Times New Roman" w:hAnsi="Times New Roman" w:cs="Times New Roman"/>
          <w:sz w:val="24"/>
          <w:szCs w:val="24"/>
        </w:rPr>
        <w:t xml:space="preserve"> El motivo de consulta más frecuente fue: lesiones de piel y compromiso ganglionar. Desde el punto de vista bioquímico las medianas de los parámetros estudiados no se vieron afectadas.    </w:t>
      </w: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forma clínica más frecuentemente observada fue la AB asociada a PHE, todos estos pacientes eran HIV positivos y el 80% tuvieron un recuento de linfocitos T cd4 menor a 100cel/µl. Coincidiendo con otras series la profilaxis con TMS no es suficiente para evitar la Bartonelosis. Otras de las formas clínicas observadas fueron el AG y el SLN. Destacamos también, la coinfección con otras entidades, principalmente TBC e HD, estableciéndose no solo como diagnóstico diferencial sino como coinfección en pacientes con compromiso de piel y adenopático. </w:t>
      </w:r>
    </w:p>
    <w:p w:rsidR="008A65E4" w:rsidRDefault="008A65E4" w:rsidP="005F5DF8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5E4" w:rsidRDefault="008A65E4" w:rsidP="00832C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C97">
        <w:rPr>
          <w:rFonts w:ascii="Times New Roman" w:hAnsi="Times New Roman" w:cs="Times New Roman"/>
          <w:b/>
          <w:bCs/>
          <w:sz w:val="24"/>
          <w:szCs w:val="24"/>
        </w:rPr>
        <w:t>BIBLIOGRAFIA:</w:t>
      </w:r>
    </w:p>
    <w:p w:rsidR="008A65E4" w:rsidRPr="005F5DF8" w:rsidRDefault="008A65E4" w:rsidP="00267C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F5DF8">
        <w:rPr>
          <w:rFonts w:ascii="Times New Roman" w:hAnsi="Times New Roman" w:cs="Times New Roman"/>
          <w:sz w:val="20"/>
          <w:szCs w:val="20"/>
          <w:lang w:val="en-US"/>
        </w:rPr>
        <w:t>Jean-Marc Rolain, Hubert Lepidi, Michel Zanaret, Jean-Michel Triglia, Gérard Michel, Pascal-Alexandre Thomas et al. Lymph Node Biopsy Specimens and</w:t>
      </w:r>
    </w:p>
    <w:p w:rsidR="008A65E4" w:rsidRPr="005F5DF8" w:rsidRDefault="008A65E4" w:rsidP="004E36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es-AR"/>
        </w:rPr>
      </w:pPr>
      <w:r w:rsidRPr="005F5DF8">
        <w:rPr>
          <w:rFonts w:ascii="Times New Roman" w:hAnsi="Times New Roman" w:cs="Times New Roman"/>
          <w:sz w:val="20"/>
          <w:szCs w:val="20"/>
          <w:lang w:val="en-US"/>
        </w:rPr>
        <w:t xml:space="preserve">Diagnosis of Cat-scratch Disease. 2006. </w:t>
      </w:r>
      <w:r w:rsidRPr="005F5DF8">
        <w:rPr>
          <w:rFonts w:ascii="Times New Roman" w:hAnsi="Times New Roman" w:cs="Times New Roman"/>
          <w:sz w:val="20"/>
          <w:szCs w:val="20"/>
          <w:lang w:val="en-US" w:eastAsia="es-AR"/>
        </w:rPr>
        <w:t>Emerging Infectious Diseases. Vol. 12. (9); 1338- 1344.</w:t>
      </w:r>
    </w:p>
    <w:p w:rsidR="008A65E4" w:rsidRPr="005F5DF8" w:rsidRDefault="008A65E4" w:rsidP="003650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es-AR"/>
        </w:rPr>
      </w:pPr>
      <w:r w:rsidRPr="005F5DF8">
        <w:rPr>
          <w:rFonts w:ascii="Times New Roman" w:hAnsi="Times New Roman" w:cs="Times New Roman"/>
          <w:sz w:val="20"/>
          <w:szCs w:val="20"/>
          <w:lang w:val="en-US" w:eastAsia="es-AR"/>
        </w:rPr>
        <w:t>Jorge L. D. Gazineo, Beatriz M. Trope, Juan P. Maceira, Sílvia B. May, Janice M. C. de O. Coelho, John S. Lambert et al. Bacillary Angiomatosis: Description of 13 cases reported in five reference centers for AIDS treatment in Rio de Janeiro, Brazil. 2001. Rev. Inst. Med. trop. S. Paulo, 43(1);1-6.</w:t>
      </w:r>
    </w:p>
    <w:p w:rsidR="008A65E4" w:rsidRPr="005F5DF8" w:rsidRDefault="008A65E4" w:rsidP="003650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es-AR"/>
        </w:rPr>
      </w:pPr>
      <w:r w:rsidRPr="005F5DF8">
        <w:rPr>
          <w:rFonts w:ascii="Times New Roman" w:hAnsi="Times New Roman" w:cs="Times New Roman"/>
          <w:sz w:val="20"/>
          <w:szCs w:val="20"/>
          <w:lang w:val="en-US" w:eastAsia="es-AR"/>
        </w:rPr>
        <w:t xml:space="preserve">J. M. Rolain, P. Brouqui, J.E. Koehler, C. Maguina, M. J. Dolan, D. Raoult. Recommendations for Treatment of Human Infections Caused by </w:t>
      </w:r>
      <w:r w:rsidRPr="005F5DF8">
        <w:rPr>
          <w:rFonts w:ascii="Times New Roman" w:hAnsi="Times New Roman" w:cs="Times New Roman"/>
          <w:i/>
          <w:iCs/>
          <w:sz w:val="20"/>
          <w:szCs w:val="20"/>
          <w:lang w:val="en-US" w:eastAsia="es-AR"/>
        </w:rPr>
        <w:t>Bartonella</w:t>
      </w:r>
      <w:r w:rsidRPr="005F5DF8">
        <w:rPr>
          <w:rFonts w:ascii="Times New Roman" w:hAnsi="Times New Roman" w:cs="Times New Roman"/>
          <w:sz w:val="20"/>
          <w:szCs w:val="20"/>
          <w:lang w:val="en-US" w:eastAsia="es-AR"/>
        </w:rPr>
        <w:t xml:space="preserve"> Species. 2004. Antimicrob. Agents. Chemother. Vol. 48. (6); 1921-1933.</w:t>
      </w:r>
    </w:p>
    <w:p w:rsidR="008A65E4" w:rsidRPr="005F5DF8" w:rsidRDefault="008A65E4" w:rsidP="003650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es-AR"/>
        </w:rPr>
      </w:pPr>
      <w:r w:rsidRPr="005F5DF8">
        <w:rPr>
          <w:rFonts w:ascii="Times New Roman" w:hAnsi="Times New Roman" w:cs="Times New Roman"/>
          <w:sz w:val="20"/>
          <w:szCs w:val="20"/>
          <w:lang w:val="en-US" w:eastAsia="es-AR"/>
        </w:rPr>
        <w:t>Corti M, Villafa</w:t>
      </w:r>
      <w:r w:rsidRPr="005F5DF8">
        <w:rPr>
          <w:rFonts w:ascii="Times New Roman" w:hAnsi="Times New Roman" w:cs="Times New Roman"/>
          <w:sz w:val="20"/>
          <w:szCs w:val="20"/>
          <w:lang w:val="en-US"/>
        </w:rPr>
        <w:t>ñe F, Castello T, Mendez N, Gancedo E, Palmieri O. Bacillar angiomatosis and hepatic peliosis in an AIDS patients. Medicina (Buenos Aires) 2006</w:t>
      </w:r>
      <w:r w:rsidRPr="005F5DF8">
        <w:rPr>
          <w:rFonts w:ascii="Times New Roman" w:hAnsi="Times New Roman" w:cs="Times New Roman"/>
          <w:sz w:val="20"/>
          <w:szCs w:val="20"/>
          <w:lang w:val="en-US" w:eastAsia="es-AR"/>
        </w:rPr>
        <w:t>; 66(2): 153.</w:t>
      </w:r>
    </w:p>
    <w:p w:rsidR="008A65E4" w:rsidRPr="00B95F7C" w:rsidRDefault="008A65E4" w:rsidP="004528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s-AR"/>
        </w:rPr>
      </w:pPr>
    </w:p>
    <w:p w:rsidR="008A65E4" w:rsidRPr="00B95F7C" w:rsidRDefault="008A65E4" w:rsidP="004E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A65E4" w:rsidRPr="00B95F7C" w:rsidSect="00DE1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8D6"/>
    <w:multiLevelType w:val="hybridMultilevel"/>
    <w:tmpl w:val="31028B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639D"/>
    <w:multiLevelType w:val="hybridMultilevel"/>
    <w:tmpl w:val="CBE0EE14"/>
    <w:lvl w:ilvl="0" w:tplc="2F5E8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285"/>
    <w:rsid w:val="00000964"/>
    <w:rsid w:val="00021E2A"/>
    <w:rsid w:val="0002655E"/>
    <w:rsid w:val="00040B61"/>
    <w:rsid w:val="00074481"/>
    <w:rsid w:val="000B5086"/>
    <w:rsid w:val="000C0B4E"/>
    <w:rsid w:val="000E3ED4"/>
    <w:rsid w:val="000E5F59"/>
    <w:rsid w:val="000F31E8"/>
    <w:rsid w:val="001014A9"/>
    <w:rsid w:val="001153CE"/>
    <w:rsid w:val="00124329"/>
    <w:rsid w:val="001361F0"/>
    <w:rsid w:val="00136EF6"/>
    <w:rsid w:val="001512D0"/>
    <w:rsid w:val="00151F40"/>
    <w:rsid w:val="00152E8D"/>
    <w:rsid w:val="0017375C"/>
    <w:rsid w:val="001761C8"/>
    <w:rsid w:val="00180B36"/>
    <w:rsid w:val="00192B42"/>
    <w:rsid w:val="001B0419"/>
    <w:rsid w:val="001E77AF"/>
    <w:rsid w:val="00210F76"/>
    <w:rsid w:val="00265A64"/>
    <w:rsid w:val="00267C97"/>
    <w:rsid w:val="0027563A"/>
    <w:rsid w:val="002E7007"/>
    <w:rsid w:val="002E7623"/>
    <w:rsid w:val="002F3285"/>
    <w:rsid w:val="002F3384"/>
    <w:rsid w:val="00315BAB"/>
    <w:rsid w:val="00331282"/>
    <w:rsid w:val="003650FB"/>
    <w:rsid w:val="00385E71"/>
    <w:rsid w:val="00393A30"/>
    <w:rsid w:val="003978A3"/>
    <w:rsid w:val="003B2F99"/>
    <w:rsid w:val="003B5E75"/>
    <w:rsid w:val="003C065F"/>
    <w:rsid w:val="00404113"/>
    <w:rsid w:val="004272EC"/>
    <w:rsid w:val="0044126B"/>
    <w:rsid w:val="00450A01"/>
    <w:rsid w:val="00452892"/>
    <w:rsid w:val="004550AB"/>
    <w:rsid w:val="00462E33"/>
    <w:rsid w:val="00472D43"/>
    <w:rsid w:val="00477202"/>
    <w:rsid w:val="004C226D"/>
    <w:rsid w:val="004E3686"/>
    <w:rsid w:val="004F2109"/>
    <w:rsid w:val="004F687D"/>
    <w:rsid w:val="004F69CA"/>
    <w:rsid w:val="0050394A"/>
    <w:rsid w:val="00507AA8"/>
    <w:rsid w:val="00510291"/>
    <w:rsid w:val="0052142B"/>
    <w:rsid w:val="00526146"/>
    <w:rsid w:val="00562ADC"/>
    <w:rsid w:val="005739CB"/>
    <w:rsid w:val="005945F4"/>
    <w:rsid w:val="005B2044"/>
    <w:rsid w:val="005B20FD"/>
    <w:rsid w:val="005D1AE9"/>
    <w:rsid w:val="005D3B13"/>
    <w:rsid w:val="005F32CA"/>
    <w:rsid w:val="005F5DF8"/>
    <w:rsid w:val="006505C3"/>
    <w:rsid w:val="0065392B"/>
    <w:rsid w:val="00655B46"/>
    <w:rsid w:val="00663A74"/>
    <w:rsid w:val="00693AC3"/>
    <w:rsid w:val="006C78FF"/>
    <w:rsid w:val="006F08C7"/>
    <w:rsid w:val="006F0B47"/>
    <w:rsid w:val="007037DC"/>
    <w:rsid w:val="00706EBF"/>
    <w:rsid w:val="00710514"/>
    <w:rsid w:val="00726FC4"/>
    <w:rsid w:val="00773A20"/>
    <w:rsid w:val="00773DFB"/>
    <w:rsid w:val="007B38F8"/>
    <w:rsid w:val="007F1EB9"/>
    <w:rsid w:val="008010F1"/>
    <w:rsid w:val="00805976"/>
    <w:rsid w:val="008150D6"/>
    <w:rsid w:val="00832CC8"/>
    <w:rsid w:val="0086717A"/>
    <w:rsid w:val="00882EDE"/>
    <w:rsid w:val="008A63CE"/>
    <w:rsid w:val="008A65E4"/>
    <w:rsid w:val="008E7921"/>
    <w:rsid w:val="008E7AD5"/>
    <w:rsid w:val="0090352B"/>
    <w:rsid w:val="0092070C"/>
    <w:rsid w:val="00935BC7"/>
    <w:rsid w:val="00951BA8"/>
    <w:rsid w:val="00980F45"/>
    <w:rsid w:val="00984F67"/>
    <w:rsid w:val="009875EC"/>
    <w:rsid w:val="009A6634"/>
    <w:rsid w:val="009B24BD"/>
    <w:rsid w:val="009C2D20"/>
    <w:rsid w:val="009D3F20"/>
    <w:rsid w:val="009F17A7"/>
    <w:rsid w:val="00A0003C"/>
    <w:rsid w:val="00A21667"/>
    <w:rsid w:val="00A90AAA"/>
    <w:rsid w:val="00A95EF0"/>
    <w:rsid w:val="00A97367"/>
    <w:rsid w:val="00AA7097"/>
    <w:rsid w:val="00AD5214"/>
    <w:rsid w:val="00B15476"/>
    <w:rsid w:val="00B31286"/>
    <w:rsid w:val="00B70779"/>
    <w:rsid w:val="00B84886"/>
    <w:rsid w:val="00B95F7C"/>
    <w:rsid w:val="00BD1B27"/>
    <w:rsid w:val="00C10672"/>
    <w:rsid w:val="00C363F1"/>
    <w:rsid w:val="00C65CAF"/>
    <w:rsid w:val="00C67730"/>
    <w:rsid w:val="00CB5930"/>
    <w:rsid w:val="00CB6741"/>
    <w:rsid w:val="00CD5952"/>
    <w:rsid w:val="00D10F8B"/>
    <w:rsid w:val="00D3176B"/>
    <w:rsid w:val="00D44DDE"/>
    <w:rsid w:val="00D96AC3"/>
    <w:rsid w:val="00DA138E"/>
    <w:rsid w:val="00DC755E"/>
    <w:rsid w:val="00DD4FC3"/>
    <w:rsid w:val="00DD7B95"/>
    <w:rsid w:val="00DE07E8"/>
    <w:rsid w:val="00DE1B68"/>
    <w:rsid w:val="00E45213"/>
    <w:rsid w:val="00E621C9"/>
    <w:rsid w:val="00E62A64"/>
    <w:rsid w:val="00EB7D39"/>
    <w:rsid w:val="00EF1677"/>
    <w:rsid w:val="00F128D7"/>
    <w:rsid w:val="00F247CC"/>
    <w:rsid w:val="00F252DB"/>
    <w:rsid w:val="00F3606A"/>
    <w:rsid w:val="00F378BC"/>
    <w:rsid w:val="00F419CA"/>
    <w:rsid w:val="00F563B8"/>
    <w:rsid w:val="00F95FD6"/>
    <w:rsid w:val="00FA4BE5"/>
    <w:rsid w:val="00F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7C97"/>
    <w:pPr>
      <w:ind w:left="720"/>
    </w:pPr>
  </w:style>
  <w:style w:type="character" w:styleId="Hyperlink">
    <w:name w:val="Hyperlink"/>
    <w:basedOn w:val="DefaultParagraphFont"/>
    <w:uiPriority w:val="99"/>
    <w:rsid w:val="005F5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corre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1244</Words>
  <Characters>6848</Characters>
  <Application>Microsoft Office Outlook</Application>
  <DocSecurity>0</DocSecurity>
  <Lines>0</Lines>
  <Paragraphs>0</Paragraphs>
  <ScaleCrop>false</ScaleCrop>
  <Company>+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Bartonelosis en pacientes inmunocompetentes e inmunocomprometidos y su diagnóstico por PCR</dc:title>
  <dc:subject/>
  <dc:creator>Pc</dc:creator>
  <cp:keywords/>
  <dc:description/>
  <cp:lastModifiedBy>-</cp:lastModifiedBy>
  <cp:revision>2</cp:revision>
  <dcterms:created xsi:type="dcterms:W3CDTF">2014-05-20T17:15:00Z</dcterms:created>
  <dcterms:modified xsi:type="dcterms:W3CDTF">2014-05-20T17:15:00Z</dcterms:modified>
</cp:coreProperties>
</file>