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4A9" w:rsidRPr="00F833FD" w:rsidRDefault="002404A9" w:rsidP="006F269F">
      <w:pPr>
        <w:jc w:val="center"/>
        <w:rPr>
          <w:rFonts w:ascii="Times New Roman" w:hAnsi="Times New Roman"/>
          <w:i/>
          <w:sz w:val="28"/>
          <w:szCs w:val="28"/>
        </w:rPr>
      </w:pPr>
      <w:bookmarkStart w:id="0" w:name="_GoBack"/>
      <w:r w:rsidRPr="00F833FD">
        <w:rPr>
          <w:rFonts w:ascii="Times New Roman" w:hAnsi="Times New Roman"/>
          <w:sz w:val="28"/>
          <w:szCs w:val="28"/>
        </w:rPr>
        <w:t>Vacunas anti Try</w:t>
      </w:r>
      <w:r w:rsidRPr="00F833FD">
        <w:rPr>
          <w:rFonts w:ascii="Times New Roman" w:hAnsi="Times New Roman"/>
          <w:i/>
          <w:sz w:val="28"/>
          <w:szCs w:val="28"/>
        </w:rPr>
        <w:t>panosoma cruzi</w:t>
      </w:r>
    </w:p>
    <w:p w:rsidR="002404A9" w:rsidRPr="00F833FD" w:rsidRDefault="002404A9" w:rsidP="006F269F">
      <w:pPr>
        <w:jc w:val="center"/>
        <w:rPr>
          <w:rFonts w:ascii="Times New Roman" w:hAnsi="Times New Roman"/>
          <w:i/>
          <w:sz w:val="24"/>
          <w:szCs w:val="24"/>
        </w:rPr>
      </w:pPr>
      <w:r w:rsidRPr="00F833FD">
        <w:rPr>
          <w:rFonts w:ascii="Times New Roman" w:hAnsi="Times New Roman"/>
          <w:sz w:val="24"/>
          <w:szCs w:val="24"/>
        </w:rPr>
        <w:t>Vaccines against</w:t>
      </w:r>
      <w:r w:rsidRPr="00F833FD">
        <w:rPr>
          <w:rFonts w:ascii="Times New Roman" w:hAnsi="Times New Roman"/>
          <w:i/>
          <w:sz w:val="24"/>
          <w:szCs w:val="24"/>
        </w:rPr>
        <w:t xml:space="preserve"> Trypanozoma cruzi</w:t>
      </w:r>
    </w:p>
    <w:bookmarkEnd w:id="0"/>
    <w:p w:rsidR="002404A9" w:rsidRPr="00F833FD" w:rsidRDefault="002404A9" w:rsidP="00F833FD">
      <w:pPr>
        <w:jc w:val="both"/>
        <w:rPr>
          <w:rFonts w:ascii="Times New Roman" w:hAnsi="Times New Roman"/>
          <w:sz w:val="20"/>
          <w:szCs w:val="20"/>
        </w:rPr>
      </w:pPr>
      <w:r w:rsidRPr="00F833FD">
        <w:rPr>
          <w:rFonts w:ascii="Times New Roman" w:hAnsi="Times New Roman"/>
          <w:sz w:val="20"/>
          <w:szCs w:val="20"/>
          <w:u w:val="single"/>
        </w:rPr>
        <w:t>Silvia Inés Cazorla</w:t>
      </w:r>
      <w:r w:rsidRPr="00F833FD">
        <w:rPr>
          <w:rFonts w:ascii="Times New Roman" w:hAnsi="Times New Roman"/>
          <w:sz w:val="20"/>
          <w:szCs w:val="20"/>
        </w:rPr>
        <w:t>, Marina Nadia Matos, Natacha Cerny, Andrés Sánchez Alberti, Augusto Bivona, Celina Morales, Emilio Luis Malchiodi.</w:t>
      </w:r>
    </w:p>
    <w:p w:rsidR="002404A9" w:rsidRPr="00F833FD" w:rsidRDefault="002404A9" w:rsidP="00F833FD">
      <w:pPr>
        <w:jc w:val="both"/>
        <w:rPr>
          <w:rFonts w:ascii="Times New Roman" w:hAnsi="Times New Roman"/>
          <w:sz w:val="20"/>
          <w:szCs w:val="20"/>
        </w:rPr>
      </w:pPr>
      <w:r w:rsidRPr="00F833FD">
        <w:rPr>
          <w:rFonts w:ascii="Times New Roman" w:hAnsi="Times New Roman"/>
          <w:sz w:val="20"/>
          <w:szCs w:val="20"/>
        </w:rPr>
        <w:t xml:space="preserve">IDEHU (CONICET-UBA), FFy B, UBA.  </w:t>
      </w:r>
      <w:r w:rsidRPr="00F833FD">
        <w:rPr>
          <w:rFonts w:ascii="Times New Roman" w:hAnsi="Times New Roman"/>
          <w:sz w:val="20"/>
          <w:szCs w:val="20"/>
          <w:lang w:val="en-US"/>
        </w:rPr>
        <w:t xml:space="preserve">IMPaM (CONICET-UBA), Fmed, UBA.  </w:t>
      </w:r>
      <w:r w:rsidRPr="00F833FD">
        <w:rPr>
          <w:rFonts w:ascii="Times New Roman" w:hAnsi="Times New Roman"/>
          <w:sz w:val="20"/>
          <w:szCs w:val="20"/>
        </w:rPr>
        <w:t>Instituto de Fisiopatología Cardiovascular, Departamento de Patología, Fmed, UBA.</w:t>
      </w:r>
    </w:p>
    <w:p w:rsidR="002404A9" w:rsidRPr="00F833FD" w:rsidRDefault="002404A9" w:rsidP="00F833FD">
      <w:pPr>
        <w:spacing w:after="0" w:line="240" w:lineRule="auto"/>
        <w:jc w:val="both"/>
        <w:rPr>
          <w:rFonts w:ascii="Times New Roman" w:hAnsi="Times New Roman"/>
          <w:sz w:val="20"/>
          <w:szCs w:val="20"/>
        </w:rPr>
      </w:pPr>
      <w:r w:rsidRPr="00F833FD">
        <w:rPr>
          <w:rStyle w:val="bold"/>
          <w:rFonts w:ascii="Times New Roman" w:hAnsi="Times New Roman"/>
          <w:bCs/>
          <w:color w:val="242323"/>
          <w:sz w:val="20"/>
          <w:szCs w:val="20"/>
          <w:bdr w:val="none" w:sz="0" w:space="0" w:color="auto" w:frame="1"/>
          <w:shd w:val="clear" w:color="auto" w:fill="FFFFFF"/>
        </w:rPr>
        <w:t>Palabras Clave:</w:t>
      </w:r>
      <w:r w:rsidRPr="00F833FD">
        <w:rPr>
          <w:rStyle w:val="apple-converted-space"/>
          <w:rFonts w:ascii="Times New Roman" w:hAnsi="Times New Roman"/>
          <w:bCs/>
          <w:color w:val="242323"/>
          <w:sz w:val="20"/>
          <w:szCs w:val="20"/>
          <w:bdr w:val="none" w:sz="0" w:space="0" w:color="auto" w:frame="1"/>
          <w:shd w:val="clear" w:color="auto" w:fill="FFFFFF"/>
        </w:rPr>
        <w:t> </w:t>
      </w:r>
      <w:r w:rsidRPr="00F833FD">
        <w:rPr>
          <w:rFonts w:ascii="Times New Roman" w:hAnsi="Times New Roman"/>
          <w:color w:val="242323"/>
          <w:sz w:val="20"/>
          <w:szCs w:val="20"/>
          <w:shd w:val="clear" w:color="auto" w:fill="FFFFFF"/>
        </w:rPr>
        <w:t>Enfermedad de Chagas, Vacunas experimentales, Vacuna multicomponente</w:t>
      </w:r>
    </w:p>
    <w:p w:rsidR="002404A9" w:rsidRDefault="002404A9" w:rsidP="00017961">
      <w:pPr>
        <w:spacing w:after="0" w:line="240" w:lineRule="auto"/>
        <w:ind w:firstLine="425"/>
        <w:jc w:val="both"/>
        <w:rPr>
          <w:rFonts w:ascii="Times New Roman" w:hAnsi="Times New Roman"/>
          <w:sz w:val="24"/>
          <w:szCs w:val="24"/>
        </w:rPr>
      </w:pPr>
    </w:p>
    <w:p w:rsidR="002404A9" w:rsidRDefault="002404A9" w:rsidP="00017961">
      <w:pPr>
        <w:spacing w:after="0" w:line="240" w:lineRule="auto"/>
        <w:ind w:firstLine="425"/>
        <w:jc w:val="both"/>
        <w:rPr>
          <w:rFonts w:ascii="Times New Roman" w:hAnsi="Times New Roman"/>
          <w:sz w:val="24"/>
          <w:szCs w:val="24"/>
        </w:rPr>
      </w:pPr>
    </w:p>
    <w:p w:rsidR="002404A9" w:rsidRDefault="002404A9" w:rsidP="00017961">
      <w:pPr>
        <w:spacing w:after="0" w:line="240" w:lineRule="auto"/>
        <w:ind w:firstLine="425"/>
        <w:jc w:val="both"/>
        <w:rPr>
          <w:rFonts w:ascii="Times New Roman" w:hAnsi="Times New Roman"/>
          <w:sz w:val="24"/>
          <w:szCs w:val="24"/>
        </w:rPr>
      </w:pPr>
      <w:r>
        <w:rPr>
          <w:rFonts w:ascii="Times New Roman" w:hAnsi="Times New Roman"/>
          <w:sz w:val="24"/>
          <w:szCs w:val="24"/>
        </w:rPr>
        <w:t>La enfermedad de Chagas tradicionalmente</w:t>
      </w:r>
      <w:r w:rsidRPr="00AE0B2E">
        <w:rPr>
          <w:rFonts w:ascii="Times New Roman" w:hAnsi="Times New Roman"/>
          <w:sz w:val="24"/>
          <w:szCs w:val="24"/>
        </w:rPr>
        <w:t xml:space="preserve"> endémica en 21 países de Centro y Sudamérica</w:t>
      </w:r>
      <w:r>
        <w:rPr>
          <w:rFonts w:ascii="Times New Roman" w:hAnsi="Times New Roman"/>
          <w:sz w:val="24"/>
          <w:szCs w:val="24"/>
        </w:rPr>
        <w:t xml:space="preserve">, se ha extendido a regiones urbanas, y no endémicas de América del Norte y Europa, un fenómeno conocido como la globalización de la enfermedad de Chagas.  </w:t>
      </w:r>
      <w:r w:rsidRPr="002C28CC">
        <w:rPr>
          <w:rFonts w:ascii="Times New Roman" w:hAnsi="Times New Roman"/>
          <w:sz w:val="24"/>
          <w:szCs w:val="24"/>
        </w:rPr>
        <w:t xml:space="preserve">Los agentes quimioterapéuticos para </w:t>
      </w:r>
      <w:r>
        <w:rPr>
          <w:rFonts w:ascii="Times New Roman" w:hAnsi="Times New Roman"/>
          <w:sz w:val="24"/>
          <w:szCs w:val="24"/>
        </w:rPr>
        <w:t xml:space="preserve">su tratamiento, </w:t>
      </w:r>
      <w:r w:rsidRPr="002C28CC">
        <w:rPr>
          <w:rFonts w:ascii="Times New Roman" w:hAnsi="Times New Roman"/>
          <w:sz w:val="24"/>
          <w:szCs w:val="24"/>
        </w:rPr>
        <w:t xml:space="preserve">tienen limitada efectividad y no son inocuos, no existiendo vacunas seguras y efectivas para la prevención y/o tratamiento de esta parasitosis. Más aún, la exploración de vacunas contra </w:t>
      </w:r>
      <w:r w:rsidRPr="000373F1">
        <w:rPr>
          <w:rFonts w:ascii="Times New Roman" w:hAnsi="Times New Roman"/>
          <w:i/>
          <w:sz w:val="24"/>
          <w:szCs w:val="24"/>
        </w:rPr>
        <w:t>T. cruzi</w:t>
      </w:r>
      <w:r w:rsidRPr="002C28CC">
        <w:rPr>
          <w:rFonts w:ascii="Times New Roman" w:hAnsi="Times New Roman"/>
          <w:sz w:val="24"/>
          <w:szCs w:val="24"/>
        </w:rPr>
        <w:t xml:space="preserve"> ha sido evitada debido al temor de que la inmunización podría exacerbar, </w:t>
      </w:r>
      <w:r>
        <w:rPr>
          <w:rFonts w:ascii="Times New Roman" w:hAnsi="Times New Roman"/>
          <w:sz w:val="24"/>
          <w:szCs w:val="24"/>
        </w:rPr>
        <w:t>más que prevenir, la enfermedad.</w:t>
      </w:r>
      <w:r w:rsidRPr="002C28CC">
        <w:rPr>
          <w:rFonts w:ascii="Times New Roman" w:hAnsi="Times New Roman"/>
          <w:sz w:val="24"/>
          <w:szCs w:val="24"/>
        </w:rPr>
        <w:t xml:space="preserve"> Sin embargo, crecientes evidencias indican que es la persistencia del parásito en los tejidos infectados, y no la respuesta inmune inducida por él, lo que mejor se correlaciona con la inducción y mantenimiento del proceso infeccioso. </w:t>
      </w:r>
    </w:p>
    <w:p w:rsidR="002404A9" w:rsidRDefault="002404A9" w:rsidP="00017961">
      <w:pPr>
        <w:spacing w:after="0" w:line="240" w:lineRule="auto"/>
        <w:ind w:firstLine="425"/>
        <w:jc w:val="both"/>
        <w:rPr>
          <w:rFonts w:ascii="Times New Roman" w:hAnsi="Times New Roman"/>
          <w:sz w:val="24"/>
          <w:szCs w:val="24"/>
        </w:rPr>
      </w:pPr>
      <w:r w:rsidRPr="00C90C6E">
        <w:rPr>
          <w:rFonts w:ascii="Times New Roman" w:hAnsi="Times New Roman"/>
          <w:sz w:val="24"/>
          <w:szCs w:val="24"/>
        </w:rPr>
        <w:t>En la búsqueda de una respuesta immune protectiv</w:t>
      </w:r>
      <w:r>
        <w:rPr>
          <w:rFonts w:ascii="Times New Roman" w:hAnsi="Times New Roman"/>
          <w:sz w:val="24"/>
          <w:szCs w:val="24"/>
        </w:rPr>
        <w:t>a</w:t>
      </w:r>
      <w:r w:rsidRPr="00C90C6E">
        <w:rPr>
          <w:rFonts w:ascii="Times New Roman" w:hAnsi="Times New Roman"/>
          <w:sz w:val="24"/>
          <w:szCs w:val="24"/>
        </w:rPr>
        <w:t xml:space="preserve"> frente a la infección por el parásito,</w:t>
      </w:r>
      <w:r>
        <w:rPr>
          <w:rFonts w:ascii="Times New Roman" w:hAnsi="Times New Roman"/>
          <w:sz w:val="24"/>
          <w:szCs w:val="24"/>
        </w:rPr>
        <w:t xml:space="preserve"> sel</w:t>
      </w:r>
      <w:r w:rsidRPr="00C90C6E">
        <w:rPr>
          <w:rFonts w:ascii="Times New Roman" w:hAnsi="Times New Roman"/>
          <w:sz w:val="24"/>
          <w:szCs w:val="24"/>
        </w:rPr>
        <w:t>eccionamos proteínas clave para la supervivencia del parásito y para el desarrollo de la infección, cuya capacidad inmunoprotectiva analiza</w:t>
      </w:r>
      <w:r>
        <w:rPr>
          <w:rFonts w:ascii="Times New Roman" w:hAnsi="Times New Roman"/>
          <w:sz w:val="24"/>
          <w:szCs w:val="24"/>
        </w:rPr>
        <w:t>mos e</w:t>
      </w:r>
      <w:r w:rsidRPr="00C90C6E">
        <w:rPr>
          <w:rFonts w:ascii="Times New Roman" w:hAnsi="Times New Roman"/>
          <w:sz w:val="24"/>
          <w:szCs w:val="24"/>
        </w:rPr>
        <w:t>n combinación con adyuvantes de última generación y utilizando diferentes vías de inoculación.</w:t>
      </w:r>
      <w:r>
        <w:rPr>
          <w:rFonts w:ascii="Times New Roman" w:hAnsi="Times New Roman"/>
          <w:sz w:val="24"/>
          <w:szCs w:val="24"/>
        </w:rPr>
        <w:t xml:space="preserve"> </w:t>
      </w:r>
    </w:p>
    <w:p w:rsidR="002404A9" w:rsidRPr="002C28CC" w:rsidRDefault="002404A9" w:rsidP="00017961">
      <w:pPr>
        <w:spacing w:after="0" w:line="240" w:lineRule="auto"/>
        <w:ind w:firstLine="425"/>
        <w:jc w:val="both"/>
        <w:rPr>
          <w:rFonts w:ascii="Times New Roman" w:hAnsi="Times New Roman"/>
          <w:sz w:val="24"/>
          <w:szCs w:val="24"/>
        </w:rPr>
      </w:pPr>
      <w:r w:rsidRPr="002C28CC">
        <w:rPr>
          <w:rFonts w:ascii="Times New Roman" w:hAnsi="Times New Roman"/>
          <w:sz w:val="24"/>
          <w:szCs w:val="24"/>
        </w:rPr>
        <w:t xml:space="preserve">Aspectos destacados de la cruzipaína (Cz), principal cisteína proteasa de </w:t>
      </w:r>
      <w:r w:rsidRPr="00811D8B">
        <w:rPr>
          <w:rFonts w:ascii="Times New Roman" w:hAnsi="Times New Roman"/>
          <w:i/>
          <w:sz w:val="24"/>
          <w:szCs w:val="24"/>
        </w:rPr>
        <w:t>T. cruzi</w:t>
      </w:r>
      <w:r w:rsidRPr="002C28CC">
        <w:rPr>
          <w:rFonts w:ascii="Times New Roman" w:hAnsi="Times New Roman"/>
          <w:sz w:val="24"/>
          <w:szCs w:val="24"/>
        </w:rPr>
        <w:t>, en la vida parasitaria, la señalan como un blanco potencial para la generación de una respuesta inmune</w:t>
      </w:r>
      <w:r>
        <w:rPr>
          <w:rFonts w:ascii="Times New Roman" w:hAnsi="Times New Roman"/>
          <w:sz w:val="24"/>
          <w:szCs w:val="24"/>
        </w:rPr>
        <w:t xml:space="preserve"> protectiva</w:t>
      </w:r>
      <w:r w:rsidRPr="002C28CC">
        <w:rPr>
          <w:rFonts w:ascii="Times New Roman" w:hAnsi="Times New Roman"/>
          <w:sz w:val="24"/>
          <w:szCs w:val="24"/>
        </w:rPr>
        <w:t xml:space="preserve">. Como primer paso analizamos la capacidad inmunoprotectora de </w:t>
      </w:r>
      <w:r w:rsidRPr="003B0B50">
        <w:rPr>
          <w:rFonts w:ascii="Times New Roman" w:hAnsi="Times New Roman"/>
          <w:i/>
          <w:sz w:val="24"/>
          <w:szCs w:val="24"/>
        </w:rPr>
        <w:t>Salmonella entérica</w:t>
      </w:r>
      <w:r w:rsidRPr="002C28CC">
        <w:rPr>
          <w:rFonts w:ascii="Times New Roman" w:hAnsi="Times New Roman"/>
          <w:sz w:val="24"/>
          <w:szCs w:val="24"/>
        </w:rPr>
        <w:t xml:space="preserve"> serovar Typhimurium atenuada AroA como sistema de vehiculización “delivery system” del ADN de Cz (SCz). Además, con el objeto de optimizar la respuesta inmune desencadenada por una vacuna basada en el ADN, probamos la coadministración de </w:t>
      </w:r>
      <w:r w:rsidRPr="003B0B50">
        <w:rPr>
          <w:rFonts w:ascii="Times New Roman" w:hAnsi="Times New Roman"/>
          <w:i/>
          <w:sz w:val="24"/>
          <w:szCs w:val="24"/>
        </w:rPr>
        <w:t>S</w:t>
      </w:r>
      <w:r w:rsidRPr="002C28CC">
        <w:rPr>
          <w:rFonts w:ascii="Times New Roman" w:hAnsi="Times New Roman"/>
          <w:sz w:val="24"/>
          <w:szCs w:val="24"/>
        </w:rPr>
        <w:t xml:space="preserve">Cz y de </w:t>
      </w:r>
      <w:r w:rsidRPr="003B0B50">
        <w:rPr>
          <w:rFonts w:ascii="Times New Roman" w:hAnsi="Times New Roman"/>
          <w:i/>
          <w:sz w:val="24"/>
          <w:szCs w:val="24"/>
        </w:rPr>
        <w:t>Salmonella</w:t>
      </w:r>
      <w:r w:rsidRPr="002C28CC">
        <w:rPr>
          <w:rFonts w:ascii="Times New Roman" w:hAnsi="Times New Roman"/>
          <w:sz w:val="24"/>
          <w:szCs w:val="24"/>
        </w:rPr>
        <w:t xml:space="preserve"> transportando el gen del Factor Estimulante de Colonias de Granulocitos y Macrófagos</w:t>
      </w:r>
      <w:r>
        <w:rPr>
          <w:rFonts w:ascii="Times New Roman" w:hAnsi="Times New Roman"/>
          <w:sz w:val="24"/>
          <w:szCs w:val="24"/>
        </w:rPr>
        <w:t xml:space="preserve"> (GM-CSF)</w:t>
      </w:r>
      <w:r w:rsidRPr="002C28CC">
        <w:rPr>
          <w:rFonts w:ascii="Times New Roman" w:hAnsi="Times New Roman"/>
          <w:sz w:val="24"/>
          <w:szCs w:val="24"/>
        </w:rPr>
        <w:t xml:space="preserve">, así como protocolos de “Prime-Boost” en donde ratones inmunizados con dos dosis de SCz, recibían luego dosis de refuerzo de Cz recombinante (rCz) coadministrada con ODN-CpG o MALP-2 (un agonista de TLR2/6). Observamos que los animales que recibieron cuatro dosis de </w:t>
      </w:r>
      <w:r w:rsidRPr="003B0B50">
        <w:rPr>
          <w:rFonts w:ascii="Times New Roman" w:hAnsi="Times New Roman"/>
          <w:i/>
          <w:sz w:val="24"/>
          <w:szCs w:val="24"/>
        </w:rPr>
        <w:t>S</w:t>
      </w:r>
      <w:r w:rsidRPr="002C28CC">
        <w:rPr>
          <w:rFonts w:ascii="Times New Roman" w:hAnsi="Times New Roman"/>
          <w:sz w:val="24"/>
          <w:szCs w:val="24"/>
        </w:rPr>
        <w:t>Cz por vía oral, desencadenaron una respuesta principalmente a nivel de mucosas medida en términos de IgA secretora y proliferación de tejidos linfoides asociados a mucosa gástrica, con baja respuesta a nivel sistémico. Por el contrario, aquellos ratones que recibieron dos dosis de SCz seguidas por un “boost” con rCz-ODN-CpG desencadenaron una fuerte respuesta inmune a nivel sistémico en términos de IgG específicas, proliferación de esplenocitos, secreción de IFN-</w:t>
      </w:r>
      <w:r w:rsidRPr="002C28CC">
        <w:rPr>
          <w:rFonts w:ascii="Times New Roman" w:hAnsi="Times New Roman"/>
          <w:sz w:val="24"/>
          <w:szCs w:val="24"/>
          <w:lang w:val="en-US"/>
        </w:rPr>
        <w:t>γ</w:t>
      </w:r>
      <w:r w:rsidRPr="002C28CC">
        <w:rPr>
          <w:rFonts w:ascii="Times New Roman" w:hAnsi="Times New Roman"/>
          <w:sz w:val="24"/>
          <w:szCs w:val="24"/>
        </w:rPr>
        <w:t xml:space="preserve"> e hipersensibilidad retardada. Al desafío con tripomastigotes todos los ratones, independientemente del plan de inmunización, mostraron una disminución significativa de la parasitemia respecto al grupo control. La inmunoprotección conferida por </w:t>
      </w:r>
      <w:r w:rsidRPr="003B0B50">
        <w:rPr>
          <w:rFonts w:ascii="Times New Roman" w:hAnsi="Times New Roman"/>
          <w:i/>
          <w:sz w:val="24"/>
          <w:szCs w:val="24"/>
        </w:rPr>
        <w:t>S</w:t>
      </w:r>
      <w:r w:rsidRPr="002C28CC">
        <w:rPr>
          <w:rFonts w:ascii="Times New Roman" w:hAnsi="Times New Roman"/>
          <w:sz w:val="24"/>
          <w:szCs w:val="24"/>
        </w:rPr>
        <w:t xml:space="preserve">Cz, fue abolida por depleción de las células T tanto CD4+ como CD8+. La respuesta inmune fue efectiva incluso durante la fase crónica de la infección por </w:t>
      </w:r>
      <w:r w:rsidRPr="003B0B50">
        <w:rPr>
          <w:rFonts w:ascii="Times New Roman" w:hAnsi="Times New Roman"/>
          <w:i/>
          <w:sz w:val="24"/>
          <w:szCs w:val="24"/>
        </w:rPr>
        <w:t>T. cruzi</w:t>
      </w:r>
      <w:r w:rsidRPr="002C28CC">
        <w:rPr>
          <w:rFonts w:ascii="Times New Roman" w:hAnsi="Times New Roman"/>
          <w:sz w:val="24"/>
          <w:szCs w:val="24"/>
        </w:rPr>
        <w:t>. Los ratones inmunizados presentaron una disminución del daño tisular reflejado en estudios histopatológicos, y de enzimas marcadoras de daño muscular (CK, AST y LDH).</w:t>
      </w:r>
      <w:r w:rsidRPr="00342E2B">
        <w:t xml:space="preserve"> </w:t>
      </w:r>
      <w:r w:rsidRPr="00342E2B">
        <w:rPr>
          <w:rFonts w:ascii="Times New Roman" w:hAnsi="Times New Roman"/>
          <w:sz w:val="24"/>
          <w:szCs w:val="24"/>
        </w:rPr>
        <w:t xml:space="preserve">La capacidad adyuvante de </w:t>
      </w:r>
      <w:r w:rsidRPr="00307682">
        <w:rPr>
          <w:rFonts w:ascii="Times New Roman" w:hAnsi="Times New Roman"/>
          <w:i/>
          <w:sz w:val="24"/>
          <w:szCs w:val="24"/>
        </w:rPr>
        <w:t>Salmonella</w:t>
      </w:r>
      <w:r w:rsidRPr="00342E2B">
        <w:rPr>
          <w:rFonts w:ascii="Times New Roman" w:hAnsi="Times New Roman"/>
          <w:sz w:val="24"/>
          <w:szCs w:val="24"/>
        </w:rPr>
        <w:t xml:space="preserve"> fue eficiente en la estimulación de una respuesta inmune protectiva, que no logramos mejorar por la adición del plásmido que codifica al GM-CSF, ni  tampoco de rCz coadyuvada con ODN-CpG o MALP-2.</w:t>
      </w:r>
      <w:r w:rsidRPr="002C28CC">
        <w:rPr>
          <w:rFonts w:ascii="Times New Roman" w:hAnsi="Times New Roman"/>
          <w:sz w:val="24"/>
          <w:szCs w:val="24"/>
        </w:rPr>
        <w:t xml:space="preserve"> </w:t>
      </w:r>
    </w:p>
    <w:p w:rsidR="002404A9" w:rsidRDefault="002404A9" w:rsidP="00017961">
      <w:pPr>
        <w:spacing w:after="0" w:line="240" w:lineRule="auto"/>
        <w:ind w:firstLine="425"/>
        <w:jc w:val="both"/>
        <w:rPr>
          <w:rFonts w:ascii="Times New Roman" w:hAnsi="Times New Roman"/>
          <w:sz w:val="24"/>
          <w:szCs w:val="24"/>
        </w:rPr>
      </w:pPr>
      <w:r>
        <w:rPr>
          <w:rFonts w:ascii="Times New Roman" w:hAnsi="Times New Roman"/>
          <w:sz w:val="24"/>
          <w:szCs w:val="24"/>
        </w:rPr>
        <w:t xml:space="preserve">Paralelamente ensayamos la capacidad inmunoprotectiva de </w:t>
      </w:r>
      <w:r w:rsidRPr="00E32B84">
        <w:rPr>
          <w:rFonts w:ascii="Times New Roman" w:hAnsi="Times New Roman"/>
          <w:sz w:val="24"/>
          <w:szCs w:val="24"/>
        </w:rPr>
        <w:t>Tc52</w:t>
      </w:r>
      <w:r>
        <w:rPr>
          <w:rFonts w:ascii="Times New Roman" w:hAnsi="Times New Roman"/>
          <w:sz w:val="24"/>
          <w:szCs w:val="24"/>
        </w:rPr>
        <w:t>,</w:t>
      </w:r>
      <w:r w:rsidRPr="00E32B84">
        <w:rPr>
          <w:rFonts w:ascii="Times New Roman" w:hAnsi="Times New Roman"/>
          <w:sz w:val="24"/>
          <w:szCs w:val="24"/>
        </w:rPr>
        <w:t xml:space="preserve"> una glutatión transferasa de </w:t>
      </w:r>
      <w:r w:rsidRPr="003B0B50">
        <w:rPr>
          <w:rFonts w:ascii="Times New Roman" w:hAnsi="Times New Roman"/>
          <w:i/>
          <w:sz w:val="24"/>
          <w:szCs w:val="24"/>
        </w:rPr>
        <w:t>T. cruzi</w:t>
      </w:r>
      <w:r w:rsidRPr="00E32B84">
        <w:rPr>
          <w:rFonts w:ascii="Times New Roman" w:hAnsi="Times New Roman"/>
          <w:sz w:val="24"/>
          <w:szCs w:val="24"/>
        </w:rPr>
        <w:t xml:space="preserve"> </w:t>
      </w:r>
      <w:r w:rsidRPr="006F269F">
        <w:rPr>
          <w:rFonts w:ascii="Times New Roman" w:hAnsi="Times New Roman"/>
          <w:sz w:val="24"/>
          <w:szCs w:val="24"/>
        </w:rPr>
        <w:t>implicad</w:t>
      </w:r>
      <w:r>
        <w:rPr>
          <w:rFonts w:ascii="Times New Roman" w:hAnsi="Times New Roman"/>
          <w:sz w:val="24"/>
          <w:szCs w:val="24"/>
        </w:rPr>
        <w:t>a</w:t>
      </w:r>
      <w:r w:rsidRPr="006F269F">
        <w:rPr>
          <w:rFonts w:ascii="Times New Roman" w:hAnsi="Times New Roman"/>
          <w:sz w:val="24"/>
          <w:szCs w:val="24"/>
        </w:rPr>
        <w:t xml:space="preserve"> en la invasión celular, </w:t>
      </w:r>
      <w:r>
        <w:rPr>
          <w:rFonts w:ascii="Times New Roman" w:hAnsi="Times New Roman"/>
          <w:sz w:val="24"/>
          <w:szCs w:val="24"/>
        </w:rPr>
        <w:t xml:space="preserve">con </w:t>
      </w:r>
      <w:r w:rsidRPr="006F269F">
        <w:rPr>
          <w:rFonts w:ascii="Times New Roman" w:hAnsi="Times New Roman"/>
          <w:sz w:val="24"/>
          <w:szCs w:val="24"/>
        </w:rPr>
        <w:t>propiedades inmunomoduladoras, y co</w:t>
      </w:r>
      <w:r>
        <w:rPr>
          <w:rFonts w:ascii="Times New Roman" w:hAnsi="Times New Roman"/>
          <w:sz w:val="24"/>
          <w:szCs w:val="24"/>
        </w:rPr>
        <w:t>nservada entre diferentes cepas del parásito. Tc52</w:t>
      </w:r>
      <w:r w:rsidRPr="00E32B84">
        <w:rPr>
          <w:rFonts w:ascii="Times New Roman" w:hAnsi="Times New Roman"/>
          <w:sz w:val="24"/>
          <w:szCs w:val="24"/>
        </w:rPr>
        <w:t xml:space="preserve"> posee dos dominios uno N-terminal, que posee el sitio activo, y otro C-terminal, de función desconocida. </w:t>
      </w:r>
      <w:r>
        <w:rPr>
          <w:rFonts w:ascii="Times New Roman" w:hAnsi="Times New Roman"/>
          <w:sz w:val="24"/>
          <w:szCs w:val="24"/>
        </w:rPr>
        <w:t xml:space="preserve"> N</w:t>
      </w:r>
      <w:r w:rsidRPr="00E32B84">
        <w:rPr>
          <w:rFonts w:ascii="Times New Roman" w:hAnsi="Times New Roman"/>
          <w:sz w:val="24"/>
          <w:szCs w:val="24"/>
        </w:rPr>
        <w:t xml:space="preserve">os propusimos el diseño de una vacuna profiláctica contra la infección por </w:t>
      </w:r>
      <w:r w:rsidRPr="006F269F">
        <w:rPr>
          <w:rFonts w:ascii="Times New Roman" w:hAnsi="Times New Roman"/>
          <w:i/>
          <w:sz w:val="24"/>
          <w:szCs w:val="24"/>
        </w:rPr>
        <w:t>T. cruzi</w:t>
      </w:r>
      <w:r w:rsidRPr="00E32B84">
        <w:rPr>
          <w:rFonts w:ascii="Times New Roman" w:hAnsi="Times New Roman"/>
          <w:sz w:val="24"/>
          <w:szCs w:val="24"/>
        </w:rPr>
        <w:t xml:space="preserve">, utilizando el ADN codificante para Tc52 y sus dominios, </w:t>
      </w:r>
      <w:r>
        <w:rPr>
          <w:rFonts w:ascii="Times New Roman" w:hAnsi="Times New Roman"/>
          <w:sz w:val="24"/>
          <w:szCs w:val="24"/>
        </w:rPr>
        <w:t>con el objetivo de identificar la menor porción de la molécula necesaria para generar inmunoprotección.</w:t>
      </w:r>
      <w:r w:rsidRPr="00E32B84">
        <w:rPr>
          <w:rFonts w:ascii="Times New Roman" w:hAnsi="Times New Roman"/>
          <w:sz w:val="24"/>
          <w:szCs w:val="24"/>
        </w:rPr>
        <w:t xml:space="preserve"> Inicialmente estudiamos la respuesta inmune y la protección generada al inmunizar por vía oral con el ADN codificante para Tc52, N-term y C-term, transportados por </w:t>
      </w:r>
      <w:r w:rsidRPr="006F269F">
        <w:rPr>
          <w:rFonts w:ascii="Times New Roman" w:hAnsi="Times New Roman"/>
          <w:i/>
          <w:sz w:val="24"/>
          <w:szCs w:val="24"/>
        </w:rPr>
        <w:t>Salmonella</w:t>
      </w:r>
      <w:r w:rsidRPr="006F269F">
        <w:rPr>
          <w:rFonts w:ascii="Times New Roman" w:hAnsi="Times New Roman"/>
          <w:sz w:val="24"/>
          <w:szCs w:val="24"/>
        </w:rPr>
        <w:t xml:space="preserve"> </w:t>
      </w:r>
      <w:r w:rsidRPr="00E32B84">
        <w:rPr>
          <w:rFonts w:ascii="Times New Roman" w:hAnsi="Times New Roman"/>
          <w:sz w:val="24"/>
          <w:szCs w:val="24"/>
        </w:rPr>
        <w:t>(</w:t>
      </w:r>
      <w:r w:rsidRPr="00307682">
        <w:rPr>
          <w:rFonts w:ascii="Times New Roman" w:hAnsi="Times New Roman"/>
          <w:i/>
          <w:sz w:val="24"/>
          <w:szCs w:val="24"/>
        </w:rPr>
        <w:t>S</w:t>
      </w:r>
      <w:r w:rsidRPr="00E32B84">
        <w:rPr>
          <w:rFonts w:ascii="Times New Roman" w:hAnsi="Times New Roman"/>
          <w:sz w:val="24"/>
          <w:szCs w:val="24"/>
        </w:rPr>
        <w:t xml:space="preserve">Tc52, </w:t>
      </w:r>
      <w:r w:rsidRPr="00307682">
        <w:rPr>
          <w:rFonts w:ascii="Times New Roman" w:hAnsi="Times New Roman"/>
          <w:i/>
          <w:sz w:val="24"/>
          <w:szCs w:val="24"/>
        </w:rPr>
        <w:t>S</w:t>
      </w:r>
      <w:r w:rsidRPr="00E32B84">
        <w:rPr>
          <w:rFonts w:ascii="Times New Roman" w:hAnsi="Times New Roman"/>
          <w:sz w:val="24"/>
          <w:szCs w:val="24"/>
        </w:rPr>
        <w:t>N-term y S</w:t>
      </w:r>
      <w:r w:rsidRPr="00DF1443">
        <w:rPr>
          <w:rFonts w:ascii="Times New Roman" w:hAnsi="Times New Roman"/>
          <w:sz w:val="24"/>
          <w:szCs w:val="24"/>
        </w:rPr>
        <w:t>C</w:t>
      </w:r>
      <w:r w:rsidRPr="00E32B84">
        <w:rPr>
          <w:rFonts w:ascii="Times New Roman" w:hAnsi="Times New Roman"/>
          <w:sz w:val="24"/>
          <w:szCs w:val="24"/>
        </w:rPr>
        <w:t>-term). Los ADN codificantes para los tres antígenos indujeron respuestas inmunes humoral y celular específicas</w:t>
      </w:r>
      <w:r w:rsidRPr="002E1C3E">
        <w:rPr>
          <w:rFonts w:ascii="Times New Roman" w:hAnsi="Times New Roman"/>
          <w:sz w:val="24"/>
          <w:szCs w:val="24"/>
        </w:rPr>
        <w:t xml:space="preserve"> para Tc52</w:t>
      </w:r>
      <w:r>
        <w:rPr>
          <w:rFonts w:ascii="Times New Roman" w:hAnsi="Times New Roman"/>
          <w:sz w:val="24"/>
          <w:szCs w:val="24"/>
        </w:rPr>
        <w:t xml:space="preserve"> </w:t>
      </w:r>
      <w:r w:rsidRPr="002E1C3E">
        <w:rPr>
          <w:rFonts w:ascii="Times New Roman" w:hAnsi="Times New Roman"/>
          <w:sz w:val="24"/>
          <w:szCs w:val="24"/>
        </w:rPr>
        <w:t>en el modelo murino, protegiendo frente a la infección tanto en fase aguda como crónica. No</w:t>
      </w:r>
      <w:r>
        <w:rPr>
          <w:rFonts w:ascii="Times New Roman" w:hAnsi="Times New Roman"/>
          <w:sz w:val="24"/>
          <w:szCs w:val="24"/>
        </w:rPr>
        <w:t xml:space="preserve"> </w:t>
      </w:r>
      <w:r w:rsidRPr="002E1C3E">
        <w:rPr>
          <w:rFonts w:ascii="Times New Roman" w:hAnsi="Times New Roman"/>
          <w:sz w:val="24"/>
          <w:szCs w:val="24"/>
        </w:rPr>
        <w:t xml:space="preserve">obstante, las inmunizaciones con </w:t>
      </w:r>
      <w:r w:rsidRPr="00307682">
        <w:rPr>
          <w:rFonts w:ascii="Times New Roman" w:hAnsi="Times New Roman"/>
          <w:i/>
          <w:sz w:val="24"/>
          <w:szCs w:val="24"/>
        </w:rPr>
        <w:t>S</w:t>
      </w:r>
      <w:r w:rsidRPr="002E1C3E">
        <w:rPr>
          <w:rFonts w:ascii="Times New Roman" w:hAnsi="Times New Roman"/>
          <w:sz w:val="24"/>
          <w:szCs w:val="24"/>
        </w:rPr>
        <w:t xml:space="preserve">Tc52 y </w:t>
      </w:r>
      <w:r w:rsidRPr="00307682">
        <w:rPr>
          <w:rFonts w:ascii="Times New Roman" w:hAnsi="Times New Roman"/>
          <w:i/>
          <w:sz w:val="24"/>
          <w:szCs w:val="24"/>
        </w:rPr>
        <w:t>S</w:t>
      </w:r>
      <w:r w:rsidRPr="002E1C3E">
        <w:rPr>
          <w:rFonts w:ascii="Times New Roman" w:hAnsi="Times New Roman"/>
          <w:sz w:val="24"/>
          <w:szCs w:val="24"/>
        </w:rPr>
        <w:t>N-term generaron mayor protección respecto al</w:t>
      </w:r>
      <w:r>
        <w:rPr>
          <w:rFonts w:ascii="Times New Roman" w:hAnsi="Times New Roman"/>
          <w:sz w:val="24"/>
          <w:szCs w:val="24"/>
        </w:rPr>
        <w:t xml:space="preserve"> </w:t>
      </w:r>
      <w:r w:rsidRPr="002E1C3E">
        <w:rPr>
          <w:rFonts w:ascii="Times New Roman" w:hAnsi="Times New Roman"/>
          <w:sz w:val="24"/>
          <w:szCs w:val="24"/>
        </w:rPr>
        <w:t>grupo que recibió SC-term, en términos de parasitemia, sobrevida y pérdida de peso corporal</w:t>
      </w:r>
      <w:r>
        <w:rPr>
          <w:rFonts w:ascii="Times New Roman" w:hAnsi="Times New Roman"/>
          <w:sz w:val="24"/>
          <w:szCs w:val="24"/>
        </w:rPr>
        <w:t xml:space="preserve">. </w:t>
      </w:r>
    </w:p>
    <w:p w:rsidR="002404A9" w:rsidRDefault="002404A9" w:rsidP="00017961">
      <w:pPr>
        <w:spacing w:after="0" w:line="240" w:lineRule="auto"/>
        <w:ind w:firstLine="425"/>
        <w:jc w:val="both"/>
        <w:rPr>
          <w:rFonts w:ascii="Times New Roman" w:hAnsi="Times New Roman"/>
          <w:sz w:val="24"/>
          <w:szCs w:val="24"/>
        </w:rPr>
      </w:pPr>
      <w:r>
        <w:rPr>
          <w:rFonts w:ascii="Times New Roman" w:hAnsi="Times New Roman"/>
          <w:sz w:val="24"/>
          <w:szCs w:val="24"/>
        </w:rPr>
        <w:t xml:space="preserve">Finalmente, en un intento de mejorar las respuestas protectivas generadas por Cz y Tc52 en forma individual, diseñamos un vacuna multicomponente mediante la coadministración de </w:t>
      </w:r>
      <w:r w:rsidRPr="0046119C">
        <w:rPr>
          <w:rFonts w:ascii="Times New Roman" w:hAnsi="Times New Roman"/>
          <w:i/>
          <w:sz w:val="24"/>
          <w:szCs w:val="24"/>
        </w:rPr>
        <w:t>S</w:t>
      </w:r>
      <w:r w:rsidRPr="002E1C3E">
        <w:rPr>
          <w:rFonts w:ascii="Times New Roman" w:hAnsi="Times New Roman"/>
          <w:sz w:val="24"/>
          <w:szCs w:val="24"/>
        </w:rPr>
        <w:t>Cz+</w:t>
      </w:r>
      <w:r w:rsidRPr="0046119C">
        <w:rPr>
          <w:rFonts w:ascii="Times New Roman" w:hAnsi="Times New Roman"/>
          <w:i/>
          <w:sz w:val="24"/>
          <w:szCs w:val="24"/>
        </w:rPr>
        <w:t>S</w:t>
      </w:r>
      <w:r w:rsidRPr="002E1C3E">
        <w:rPr>
          <w:rFonts w:ascii="Times New Roman" w:hAnsi="Times New Roman"/>
          <w:sz w:val="24"/>
          <w:szCs w:val="24"/>
        </w:rPr>
        <w:t>Tc52+</w:t>
      </w:r>
      <w:r w:rsidRPr="0046119C">
        <w:rPr>
          <w:rFonts w:ascii="Times New Roman" w:hAnsi="Times New Roman"/>
          <w:i/>
          <w:sz w:val="24"/>
          <w:szCs w:val="24"/>
        </w:rPr>
        <w:t>S</w:t>
      </w:r>
      <w:r w:rsidRPr="002E1C3E">
        <w:rPr>
          <w:rFonts w:ascii="Times New Roman" w:hAnsi="Times New Roman"/>
          <w:sz w:val="24"/>
          <w:szCs w:val="24"/>
        </w:rPr>
        <w:t>Tc24</w:t>
      </w:r>
      <w:r>
        <w:rPr>
          <w:rFonts w:ascii="Times New Roman" w:hAnsi="Times New Roman"/>
          <w:sz w:val="24"/>
          <w:szCs w:val="24"/>
        </w:rPr>
        <w:t>.</w:t>
      </w:r>
      <w:r w:rsidRPr="002D62C3">
        <w:rPr>
          <w:rFonts w:ascii="Times New Roman" w:hAnsi="Times New Roman"/>
          <w:sz w:val="24"/>
          <w:szCs w:val="24"/>
        </w:rPr>
        <w:t xml:space="preserve">  Tc24 es una</w:t>
      </w:r>
      <w:r>
        <w:t xml:space="preserve"> </w:t>
      </w:r>
      <w:r w:rsidRPr="002D62C3">
        <w:rPr>
          <w:rFonts w:ascii="Times New Roman" w:hAnsi="Times New Roman"/>
          <w:sz w:val="24"/>
          <w:szCs w:val="24"/>
        </w:rPr>
        <w:t xml:space="preserve">proteína ligadora de Ca++, que se asocia a los rafts lipidícos de la membrana flagelar de </w:t>
      </w:r>
      <w:r w:rsidRPr="002D62C3">
        <w:rPr>
          <w:rFonts w:ascii="Times New Roman" w:hAnsi="Times New Roman"/>
          <w:i/>
          <w:sz w:val="24"/>
          <w:szCs w:val="24"/>
        </w:rPr>
        <w:t>T. cruz</w:t>
      </w:r>
      <w:r>
        <w:rPr>
          <w:rFonts w:ascii="Times New Roman" w:hAnsi="Times New Roman"/>
          <w:i/>
          <w:sz w:val="24"/>
          <w:szCs w:val="24"/>
        </w:rPr>
        <w:t>i.</w:t>
      </w:r>
      <w:r w:rsidRPr="002D62C3">
        <w:rPr>
          <w:rFonts w:ascii="Times New Roman" w:hAnsi="Times New Roman"/>
          <w:sz w:val="24"/>
          <w:szCs w:val="24"/>
        </w:rPr>
        <w:t xml:space="preserve"> </w:t>
      </w:r>
      <w:r w:rsidRPr="0046119C">
        <w:rPr>
          <w:rFonts w:ascii="Times New Roman" w:hAnsi="Times New Roman"/>
          <w:sz w:val="24"/>
          <w:szCs w:val="24"/>
        </w:rPr>
        <w:t xml:space="preserve">Tc24 </w:t>
      </w:r>
      <w:r>
        <w:rPr>
          <w:rFonts w:ascii="Times New Roman" w:hAnsi="Times New Roman"/>
          <w:sz w:val="24"/>
          <w:szCs w:val="24"/>
        </w:rPr>
        <w:t xml:space="preserve">jugaría un rol clave en el proceso de la movilidad flagelar, y por lo tanto en la invasión de tripomastigotes a la célula huésped. </w:t>
      </w:r>
      <w:bookmarkStart w:id="1" w:name="OLE_LINK1"/>
      <w:r>
        <w:rPr>
          <w:rFonts w:ascii="Times New Roman" w:hAnsi="Times New Roman"/>
          <w:sz w:val="24"/>
          <w:szCs w:val="24"/>
        </w:rPr>
        <w:t xml:space="preserve">Ratones inmunizados con </w:t>
      </w:r>
      <w:r w:rsidRPr="00307682">
        <w:rPr>
          <w:rFonts w:ascii="Times New Roman" w:hAnsi="Times New Roman"/>
          <w:i/>
          <w:sz w:val="24"/>
          <w:szCs w:val="24"/>
        </w:rPr>
        <w:t>S</w:t>
      </w:r>
      <w:r w:rsidRPr="00D271B2">
        <w:rPr>
          <w:rFonts w:ascii="Times New Roman" w:hAnsi="Times New Roman"/>
          <w:sz w:val="24"/>
          <w:szCs w:val="24"/>
        </w:rPr>
        <w:t>Cz+</w:t>
      </w:r>
      <w:r w:rsidRPr="00307682">
        <w:rPr>
          <w:rFonts w:ascii="Times New Roman" w:hAnsi="Times New Roman"/>
          <w:i/>
          <w:sz w:val="24"/>
          <w:szCs w:val="24"/>
        </w:rPr>
        <w:t>S</w:t>
      </w:r>
      <w:r w:rsidRPr="00D271B2">
        <w:rPr>
          <w:rFonts w:ascii="Times New Roman" w:hAnsi="Times New Roman"/>
          <w:sz w:val="24"/>
          <w:szCs w:val="24"/>
        </w:rPr>
        <w:t>Tc52+</w:t>
      </w:r>
      <w:r w:rsidRPr="00307682">
        <w:rPr>
          <w:rFonts w:ascii="Times New Roman" w:hAnsi="Times New Roman"/>
          <w:i/>
          <w:sz w:val="24"/>
          <w:szCs w:val="24"/>
        </w:rPr>
        <w:t>S</w:t>
      </w:r>
      <w:r w:rsidRPr="00D271B2">
        <w:rPr>
          <w:rFonts w:ascii="Times New Roman" w:hAnsi="Times New Roman"/>
          <w:sz w:val="24"/>
          <w:szCs w:val="24"/>
        </w:rPr>
        <w:t>Tc24</w:t>
      </w:r>
      <w:r>
        <w:rPr>
          <w:rFonts w:ascii="Times New Roman" w:hAnsi="Times New Roman"/>
          <w:sz w:val="24"/>
          <w:szCs w:val="24"/>
        </w:rPr>
        <w:t xml:space="preserve"> presentaron una fuerte respuesta inmune de Ac frente a cada uno de los antígenos,</w:t>
      </w:r>
      <w:r w:rsidRPr="00D271B2">
        <w:rPr>
          <w:rFonts w:ascii="Times New Roman" w:hAnsi="Times New Roman"/>
          <w:sz w:val="24"/>
          <w:szCs w:val="24"/>
        </w:rPr>
        <w:t xml:space="preserve"> </w:t>
      </w:r>
      <w:r>
        <w:rPr>
          <w:rFonts w:ascii="Times New Roman" w:hAnsi="Times New Roman"/>
          <w:sz w:val="24"/>
          <w:szCs w:val="24"/>
        </w:rPr>
        <w:t xml:space="preserve">respecto a los ratones que recibieron los antígenos en forma individual. Más importante aún, estos anticuerpos mediaron la lisis de tripomastigotes, e inhibieron de la invasión de tripomastigotes a células vero.  Luego del desafío con el parásito, ratones que recibieron la vacuna multicomponnete, presentaron bajas parasitemias. La pérdida de peso luego de la infección, fue observada en todos los ratones, excepto en aquellos que recibieron </w:t>
      </w:r>
      <w:r w:rsidRPr="00307682">
        <w:rPr>
          <w:rFonts w:ascii="Times New Roman" w:hAnsi="Times New Roman"/>
          <w:i/>
          <w:sz w:val="24"/>
          <w:szCs w:val="24"/>
        </w:rPr>
        <w:t>S</w:t>
      </w:r>
      <w:r w:rsidRPr="00C815C6">
        <w:rPr>
          <w:rFonts w:ascii="Times New Roman" w:hAnsi="Times New Roman"/>
          <w:sz w:val="24"/>
          <w:szCs w:val="24"/>
        </w:rPr>
        <w:t>Cz+</w:t>
      </w:r>
      <w:r w:rsidRPr="00307682">
        <w:rPr>
          <w:rFonts w:ascii="Times New Roman" w:hAnsi="Times New Roman"/>
          <w:i/>
          <w:sz w:val="24"/>
          <w:szCs w:val="24"/>
        </w:rPr>
        <w:t>S</w:t>
      </w:r>
      <w:r w:rsidRPr="00C815C6">
        <w:rPr>
          <w:rFonts w:ascii="Times New Roman" w:hAnsi="Times New Roman"/>
          <w:sz w:val="24"/>
          <w:szCs w:val="24"/>
        </w:rPr>
        <w:t>Tc24+</w:t>
      </w:r>
      <w:r w:rsidRPr="00307682">
        <w:rPr>
          <w:rFonts w:ascii="Times New Roman" w:hAnsi="Times New Roman"/>
          <w:i/>
          <w:sz w:val="24"/>
          <w:szCs w:val="24"/>
        </w:rPr>
        <w:t>S</w:t>
      </w:r>
      <w:r w:rsidRPr="00C815C6">
        <w:rPr>
          <w:rFonts w:ascii="Times New Roman" w:hAnsi="Times New Roman"/>
          <w:sz w:val="24"/>
          <w:szCs w:val="24"/>
        </w:rPr>
        <w:t>Tc52</w:t>
      </w:r>
      <w:r>
        <w:rPr>
          <w:rFonts w:ascii="Times New Roman" w:hAnsi="Times New Roman"/>
          <w:sz w:val="24"/>
          <w:szCs w:val="24"/>
        </w:rPr>
        <w:t>. La</w:t>
      </w:r>
      <w:r w:rsidRPr="00744BD6">
        <w:rPr>
          <w:rFonts w:ascii="Times New Roman" w:hAnsi="Times New Roman"/>
          <w:sz w:val="24"/>
          <w:szCs w:val="24"/>
        </w:rPr>
        <w:t xml:space="preserve"> inmunización con</w:t>
      </w:r>
      <w:r w:rsidRPr="00744BD6">
        <w:t xml:space="preserve"> </w:t>
      </w:r>
      <w:r w:rsidRPr="00307682">
        <w:rPr>
          <w:rFonts w:ascii="Times New Roman" w:hAnsi="Times New Roman"/>
          <w:i/>
          <w:sz w:val="24"/>
          <w:szCs w:val="24"/>
        </w:rPr>
        <w:t>S</w:t>
      </w:r>
      <w:r w:rsidRPr="00744BD6">
        <w:rPr>
          <w:rFonts w:ascii="Times New Roman" w:hAnsi="Times New Roman"/>
          <w:sz w:val="24"/>
          <w:szCs w:val="24"/>
        </w:rPr>
        <w:t>Cz+</w:t>
      </w:r>
      <w:r w:rsidRPr="00307682">
        <w:rPr>
          <w:rFonts w:ascii="Times New Roman" w:hAnsi="Times New Roman"/>
          <w:i/>
          <w:sz w:val="24"/>
          <w:szCs w:val="24"/>
        </w:rPr>
        <w:t>S</w:t>
      </w:r>
      <w:r w:rsidRPr="00744BD6">
        <w:rPr>
          <w:rFonts w:ascii="Times New Roman" w:hAnsi="Times New Roman"/>
          <w:sz w:val="24"/>
          <w:szCs w:val="24"/>
        </w:rPr>
        <w:t>Tc24+</w:t>
      </w:r>
      <w:r w:rsidRPr="00307682">
        <w:rPr>
          <w:rFonts w:ascii="Times New Roman" w:hAnsi="Times New Roman"/>
          <w:i/>
          <w:sz w:val="24"/>
          <w:szCs w:val="24"/>
        </w:rPr>
        <w:t>S</w:t>
      </w:r>
      <w:r w:rsidRPr="00744BD6">
        <w:rPr>
          <w:rFonts w:ascii="Times New Roman" w:hAnsi="Times New Roman"/>
          <w:sz w:val="24"/>
          <w:szCs w:val="24"/>
        </w:rPr>
        <w:t>Tc52  limitó</w:t>
      </w:r>
      <w:r>
        <w:rPr>
          <w:rFonts w:ascii="Times New Roman" w:hAnsi="Times New Roman"/>
          <w:sz w:val="24"/>
          <w:szCs w:val="24"/>
        </w:rPr>
        <w:t xml:space="preserve"> además </w:t>
      </w:r>
      <w:r w:rsidRPr="00744BD6">
        <w:rPr>
          <w:rFonts w:ascii="Times New Roman" w:hAnsi="Times New Roman"/>
          <w:sz w:val="24"/>
          <w:szCs w:val="24"/>
        </w:rPr>
        <w:t xml:space="preserve">la injuria que </w:t>
      </w:r>
      <w:r w:rsidRPr="00744BD6">
        <w:rPr>
          <w:rFonts w:ascii="Times New Roman" w:hAnsi="Times New Roman"/>
          <w:i/>
          <w:sz w:val="24"/>
          <w:szCs w:val="24"/>
        </w:rPr>
        <w:t>T. cruzi</w:t>
      </w:r>
      <w:r>
        <w:rPr>
          <w:rFonts w:ascii="Times New Roman" w:hAnsi="Times New Roman"/>
          <w:sz w:val="24"/>
          <w:szCs w:val="24"/>
        </w:rPr>
        <w:t xml:space="preserve"> provoca en músculo esquelético, mientras que los ratones controles presentaron focos inflamatorios, necrosis y nidos de amastigotes</w:t>
      </w:r>
      <w:r w:rsidRPr="00744BD6">
        <w:rPr>
          <w:rFonts w:ascii="Times New Roman" w:hAnsi="Times New Roman"/>
          <w:sz w:val="24"/>
          <w:szCs w:val="24"/>
        </w:rPr>
        <w:t xml:space="preserve">. A los 100 dpi, observamos que los niveles séricos de las enzimas asociadas a daño muscular fueron significativamente menores en los grupos inmunizados con </w:t>
      </w:r>
      <w:r w:rsidRPr="00307682">
        <w:rPr>
          <w:rFonts w:ascii="Times New Roman" w:hAnsi="Times New Roman"/>
          <w:i/>
          <w:sz w:val="24"/>
          <w:szCs w:val="24"/>
        </w:rPr>
        <w:t>S</w:t>
      </w:r>
      <w:r w:rsidRPr="00744BD6">
        <w:rPr>
          <w:rFonts w:ascii="Times New Roman" w:hAnsi="Times New Roman"/>
          <w:sz w:val="24"/>
          <w:szCs w:val="24"/>
        </w:rPr>
        <w:t>Cz+</w:t>
      </w:r>
      <w:r w:rsidRPr="00307682">
        <w:rPr>
          <w:rFonts w:ascii="Times New Roman" w:hAnsi="Times New Roman"/>
          <w:i/>
          <w:sz w:val="24"/>
          <w:szCs w:val="24"/>
        </w:rPr>
        <w:t>S</w:t>
      </w:r>
      <w:r w:rsidRPr="00744BD6">
        <w:rPr>
          <w:rFonts w:ascii="Times New Roman" w:hAnsi="Times New Roman"/>
          <w:sz w:val="24"/>
          <w:szCs w:val="24"/>
        </w:rPr>
        <w:t>Tc24+</w:t>
      </w:r>
      <w:r w:rsidRPr="00307682">
        <w:rPr>
          <w:rFonts w:ascii="Times New Roman" w:hAnsi="Times New Roman"/>
          <w:i/>
          <w:sz w:val="24"/>
          <w:szCs w:val="24"/>
        </w:rPr>
        <w:t>S</w:t>
      </w:r>
      <w:r w:rsidRPr="00744BD6">
        <w:rPr>
          <w:rFonts w:ascii="Times New Roman" w:hAnsi="Times New Roman"/>
          <w:sz w:val="24"/>
          <w:szCs w:val="24"/>
        </w:rPr>
        <w:t xml:space="preserve">Tc52 </w:t>
      </w:r>
      <w:r>
        <w:rPr>
          <w:rFonts w:ascii="Times New Roman" w:hAnsi="Times New Roman"/>
          <w:sz w:val="24"/>
          <w:szCs w:val="24"/>
        </w:rPr>
        <w:t xml:space="preserve"> respecto al grupo control.</w:t>
      </w:r>
    </w:p>
    <w:p w:rsidR="002404A9" w:rsidRPr="00652C50" w:rsidRDefault="002404A9" w:rsidP="00017961">
      <w:pPr>
        <w:spacing w:after="0" w:line="240" w:lineRule="auto"/>
        <w:ind w:firstLine="425"/>
        <w:jc w:val="both"/>
        <w:rPr>
          <w:rFonts w:ascii="Times New Roman" w:hAnsi="Times New Roman"/>
          <w:sz w:val="24"/>
          <w:szCs w:val="24"/>
        </w:rPr>
      </w:pPr>
      <w:r>
        <w:rPr>
          <w:rFonts w:ascii="Times New Roman" w:hAnsi="Times New Roman"/>
          <w:sz w:val="24"/>
          <w:szCs w:val="24"/>
        </w:rPr>
        <w:t>La vacuna multicomponente mejoró todos los parámetros analizados en comparación con la inmunización con los antígenos en forma individual</w:t>
      </w:r>
      <w:r>
        <w:t xml:space="preserve">, </w:t>
      </w:r>
      <w:r w:rsidRPr="00652C50">
        <w:rPr>
          <w:rFonts w:ascii="Times New Roman" w:hAnsi="Times New Roman"/>
          <w:sz w:val="24"/>
          <w:szCs w:val="24"/>
        </w:rPr>
        <w:t>poniendo de manifiesto los beneficios de una vacuna multiantigénica.</w:t>
      </w:r>
      <w:r>
        <w:rPr>
          <w:rFonts w:ascii="Times New Roman" w:hAnsi="Times New Roman"/>
          <w:sz w:val="24"/>
          <w:szCs w:val="24"/>
        </w:rPr>
        <w:t xml:space="preserve"> </w:t>
      </w:r>
      <w:r w:rsidRPr="00652C50">
        <w:rPr>
          <w:rFonts w:ascii="Times New Roman" w:hAnsi="Times New Roman"/>
          <w:sz w:val="24"/>
          <w:szCs w:val="24"/>
        </w:rPr>
        <w:t xml:space="preserve">Desafortunadamente, dada la capacidad del parásito de evadir la respuesta inmune y sobrevivir en un hospedador  inmunocompetente, es poco probable que una vacuna contra </w:t>
      </w:r>
      <w:r w:rsidRPr="00652C50">
        <w:rPr>
          <w:rFonts w:ascii="Times New Roman" w:hAnsi="Times New Roman"/>
          <w:i/>
          <w:sz w:val="24"/>
          <w:szCs w:val="24"/>
        </w:rPr>
        <w:t>T. cruzi</w:t>
      </w:r>
      <w:r w:rsidRPr="00652C50">
        <w:rPr>
          <w:rFonts w:ascii="Times New Roman" w:hAnsi="Times New Roman"/>
          <w:sz w:val="24"/>
          <w:szCs w:val="24"/>
        </w:rPr>
        <w:t xml:space="preserve">  sea efectiva en conferir inmunidad esterilizante. </w:t>
      </w:r>
      <w:r>
        <w:rPr>
          <w:rFonts w:ascii="Times New Roman" w:hAnsi="Times New Roman"/>
          <w:sz w:val="24"/>
          <w:szCs w:val="24"/>
        </w:rPr>
        <w:t>La vacuna multiantigénicas generó una respuesta inmune contra un amplio espectro de antigénicos involucrados en diversos mecanismos de invasión y rutas metabólicas, lo que permitió</w:t>
      </w:r>
      <w:r w:rsidRPr="00652C50">
        <w:rPr>
          <w:rFonts w:ascii="Times New Roman" w:hAnsi="Times New Roman"/>
          <w:sz w:val="24"/>
          <w:szCs w:val="24"/>
        </w:rPr>
        <w:t xml:space="preserve"> un mejor control de la infección.</w:t>
      </w:r>
      <w:bookmarkEnd w:id="1"/>
    </w:p>
    <w:sectPr w:rsidR="002404A9" w:rsidRPr="00652C50" w:rsidSect="00E32B84">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B84"/>
    <w:rsid w:val="00017961"/>
    <w:rsid w:val="000373F1"/>
    <w:rsid w:val="00122519"/>
    <w:rsid w:val="002117DF"/>
    <w:rsid w:val="002404A9"/>
    <w:rsid w:val="002B421E"/>
    <w:rsid w:val="002C28CC"/>
    <w:rsid w:val="002D62C3"/>
    <w:rsid w:val="002E1C3E"/>
    <w:rsid w:val="00307682"/>
    <w:rsid w:val="00335835"/>
    <w:rsid w:val="00342E2B"/>
    <w:rsid w:val="003B0B50"/>
    <w:rsid w:val="0046119C"/>
    <w:rsid w:val="005A3A8B"/>
    <w:rsid w:val="005E4D38"/>
    <w:rsid w:val="00647D4F"/>
    <w:rsid w:val="00652C50"/>
    <w:rsid w:val="006F269F"/>
    <w:rsid w:val="006F4FFC"/>
    <w:rsid w:val="00744BD6"/>
    <w:rsid w:val="00811D8B"/>
    <w:rsid w:val="0089432D"/>
    <w:rsid w:val="00955514"/>
    <w:rsid w:val="00A86213"/>
    <w:rsid w:val="00AE0B2E"/>
    <w:rsid w:val="00B92130"/>
    <w:rsid w:val="00C815C6"/>
    <w:rsid w:val="00C90C6E"/>
    <w:rsid w:val="00D271B2"/>
    <w:rsid w:val="00DA55CC"/>
    <w:rsid w:val="00DF1443"/>
    <w:rsid w:val="00E05218"/>
    <w:rsid w:val="00E32B84"/>
    <w:rsid w:val="00E764E1"/>
    <w:rsid w:val="00F833F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4E1"/>
    <w:pPr>
      <w:spacing w:after="200" w:line="276" w:lineRule="auto"/>
    </w:pPr>
    <w:rPr>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7D4F"/>
    <w:rPr>
      <w:rFonts w:ascii="Tahoma" w:hAnsi="Tahoma" w:cs="Tahoma"/>
      <w:sz w:val="16"/>
      <w:szCs w:val="16"/>
    </w:rPr>
  </w:style>
  <w:style w:type="character" w:customStyle="1" w:styleId="bold">
    <w:name w:val="bold"/>
    <w:basedOn w:val="DefaultParagraphFont"/>
    <w:uiPriority w:val="99"/>
    <w:rsid w:val="00F833FD"/>
    <w:rPr>
      <w:rFonts w:cs="Times New Roman"/>
    </w:rPr>
  </w:style>
  <w:style w:type="character" w:customStyle="1" w:styleId="apple-converted-space">
    <w:name w:val="apple-converted-space"/>
    <w:basedOn w:val="DefaultParagraphFont"/>
    <w:uiPriority w:val="99"/>
    <w:rsid w:val="00F833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1081</Words>
  <Characters>5951</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Vacunas anti Trypanosoma cruzi</dc:title>
  <dc:subject/>
  <dc:creator>WinuE</dc:creator>
  <cp:keywords/>
  <dc:description/>
  <cp:lastModifiedBy>Colossus User</cp:lastModifiedBy>
  <cp:revision>2</cp:revision>
  <cp:lastPrinted>2014-04-28T15:47:00Z</cp:lastPrinted>
  <dcterms:created xsi:type="dcterms:W3CDTF">2014-04-29T13:39:00Z</dcterms:created>
  <dcterms:modified xsi:type="dcterms:W3CDTF">2014-04-29T13:39:00Z</dcterms:modified>
</cp:coreProperties>
</file>