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5B" w:rsidRDefault="00E6475B" w:rsidP="00E6475B">
      <w:pPr>
        <w:contextualSpacing/>
        <w:jc w:val="both"/>
        <w:rPr>
          <w:rFonts w:ascii="Times New Roman" w:hAnsi="Times New Roman"/>
          <w:sz w:val="24"/>
          <w:szCs w:val="24"/>
        </w:rPr>
      </w:pPr>
      <w:r w:rsidRPr="003D2FAB">
        <w:rPr>
          <w:rFonts w:ascii="Times New Roman" w:hAnsi="Times New Roman"/>
          <w:b/>
          <w:sz w:val="24"/>
          <w:szCs w:val="24"/>
        </w:rPr>
        <w:t>INTRODUCCIÓN</w:t>
      </w:r>
      <w:r>
        <w:rPr>
          <w:rFonts w:ascii="Times New Roman" w:hAnsi="Times New Roman"/>
          <w:sz w:val="24"/>
          <w:szCs w:val="24"/>
        </w:rPr>
        <w:t xml:space="preserve">: </w:t>
      </w:r>
      <w:r w:rsidRPr="009D765E">
        <w:rPr>
          <w:rFonts w:ascii="Times New Roman" w:hAnsi="Times New Roman"/>
          <w:sz w:val="24"/>
          <w:szCs w:val="24"/>
        </w:rPr>
        <w:t xml:space="preserve">La enfermedad de Chagas  es causada por el protozoo </w:t>
      </w:r>
      <w:proofErr w:type="spellStart"/>
      <w:r w:rsidRPr="009D765E">
        <w:rPr>
          <w:rFonts w:ascii="Times New Roman" w:hAnsi="Times New Roman"/>
          <w:i/>
          <w:sz w:val="24"/>
          <w:szCs w:val="24"/>
        </w:rPr>
        <w:t>Trypanosoma</w:t>
      </w:r>
      <w:proofErr w:type="spellEnd"/>
      <w:r w:rsidRPr="009D765E">
        <w:rPr>
          <w:rFonts w:ascii="Times New Roman" w:hAnsi="Times New Roman"/>
          <w:i/>
          <w:sz w:val="24"/>
          <w:szCs w:val="24"/>
        </w:rPr>
        <w:t xml:space="preserve"> </w:t>
      </w:r>
      <w:proofErr w:type="spellStart"/>
      <w:r w:rsidRPr="009D765E">
        <w:rPr>
          <w:rFonts w:ascii="Times New Roman" w:hAnsi="Times New Roman"/>
          <w:i/>
          <w:sz w:val="24"/>
          <w:szCs w:val="24"/>
        </w:rPr>
        <w:t>cruzi</w:t>
      </w:r>
      <w:proofErr w:type="spellEnd"/>
      <w:r w:rsidRPr="009D765E">
        <w:rPr>
          <w:rFonts w:ascii="Times New Roman" w:hAnsi="Times New Roman"/>
          <w:sz w:val="24"/>
          <w:szCs w:val="24"/>
        </w:rPr>
        <w:t>.</w:t>
      </w:r>
      <w:r>
        <w:rPr>
          <w:rFonts w:ascii="Times New Roman" w:hAnsi="Times New Roman"/>
          <w:sz w:val="24"/>
          <w:szCs w:val="24"/>
        </w:rPr>
        <w:t xml:space="preserve"> A pesar de los avances de las iniciativas de control en varios países de América, sig</w:t>
      </w:r>
      <w:r w:rsidRPr="009D765E">
        <w:rPr>
          <w:rFonts w:ascii="Times New Roman" w:hAnsi="Times New Roman"/>
          <w:sz w:val="24"/>
          <w:szCs w:val="24"/>
        </w:rPr>
        <w:t>uen existiendo aproximadamente 40 millones de personas en riesgo</w:t>
      </w:r>
      <w:r>
        <w:rPr>
          <w:rFonts w:ascii="Times New Roman" w:hAnsi="Times New Roman"/>
          <w:sz w:val="24"/>
          <w:szCs w:val="24"/>
        </w:rPr>
        <w:t xml:space="preserve">. </w:t>
      </w:r>
      <w:r w:rsidRPr="009D765E">
        <w:rPr>
          <w:rFonts w:ascii="Times New Roman" w:hAnsi="Times New Roman"/>
          <w:sz w:val="24"/>
          <w:szCs w:val="24"/>
        </w:rPr>
        <w:t xml:space="preserve">Uno de los ejes de la estrategia de control en países con bajo nivel de transmisión es la detección de infección </w:t>
      </w:r>
      <w:proofErr w:type="spellStart"/>
      <w:r w:rsidRPr="009D765E">
        <w:rPr>
          <w:rFonts w:ascii="Times New Roman" w:hAnsi="Times New Roman"/>
          <w:sz w:val="24"/>
          <w:szCs w:val="24"/>
        </w:rPr>
        <w:t>chagásica</w:t>
      </w:r>
      <w:proofErr w:type="spellEnd"/>
      <w:r w:rsidRPr="009D765E">
        <w:rPr>
          <w:rFonts w:ascii="Times New Roman" w:hAnsi="Times New Roman"/>
          <w:sz w:val="24"/>
          <w:szCs w:val="24"/>
        </w:rPr>
        <w:t xml:space="preserve"> en niños y adolescentes de áreas endémicas</w:t>
      </w:r>
      <w:r>
        <w:rPr>
          <w:rFonts w:ascii="Times New Roman" w:hAnsi="Times New Roman"/>
          <w:sz w:val="24"/>
          <w:szCs w:val="24"/>
        </w:rPr>
        <w:t>, siendo l</w:t>
      </w:r>
      <w:r w:rsidRPr="009D765E">
        <w:rPr>
          <w:rFonts w:ascii="Times New Roman" w:hAnsi="Times New Roman"/>
          <w:sz w:val="24"/>
          <w:szCs w:val="24"/>
        </w:rPr>
        <w:t>os métodos mas usados para el diagnóstico las pruebas serológicas. En la Argentina se deben realizar al menos dos test para el diagnóstico de la infección. Constituyen el par serológico la Hemaglutinación</w:t>
      </w:r>
      <w:r>
        <w:rPr>
          <w:rFonts w:ascii="Times New Roman" w:hAnsi="Times New Roman"/>
          <w:sz w:val="24"/>
          <w:szCs w:val="24"/>
        </w:rPr>
        <w:t xml:space="preserve"> </w:t>
      </w:r>
      <w:r w:rsidRPr="009D765E">
        <w:rPr>
          <w:rFonts w:ascii="Times New Roman" w:hAnsi="Times New Roman"/>
          <w:sz w:val="24"/>
          <w:szCs w:val="24"/>
        </w:rPr>
        <w:t xml:space="preserve">(HAI) y el </w:t>
      </w:r>
      <w:proofErr w:type="spellStart"/>
      <w:r w:rsidRPr="009D765E">
        <w:rPr>
          <w:rFonts w:ascii="Times New Roman" w:hAnsi="Times New Roman"/>
          <w:sz w:val="24"/>
          <w:szCs w:val="24"/>
        </w:rPr>
        <w:t>Enzimoinmunoensayo</w:t>
      </w:r>
      <w:proofErr w:type="spellEnd"/>
      <w:r w:rsidRPr="009D765E">
        <w:rPr>
          <w:rFonts w:ascii="Times New Roman" w:hAnsi="Times New Roman"/>
          <w:sz w:val="24"/>
          <w:szCs w:val="24"/>
        </w:rPr>
        <w:t xml:space="preserve"> (ELISA). Diversos estudios han demostrado la efectividad del tratamiento en niños</w:t>
      </w:r>
      <w:r>
        <w:rPr>
          <w:rFonts w:ascii="Times New Roman" w:hAnsi="Times New Roman"/>
          <w:sz w:val="24"/>
          <w:szCs w:val="24"/>
        </w:rPr>
        <w:t xml:space="preserve"> así como en adolescentes y adultos jóvenes</w:t>
      </w:r>
      <w:r w:rsidRPr="009D765E">
        <w:rPr>
          <w:rFonts w:ascii="Times New Roman" w:hAnsi="Times New Roman"/>
          <w:sz w:val="24"/>
          <w:szCs w:val="24"/>
        </w:rPr>
        <w:t>.</w:t>
      </w:r>
      <w:r>
        <w:rPr>
          <w:rFonts w:ascii="Times New Roman" w:hAnsi="Times New Roman"/>
          <w:sz w:val="24"/>
          <w:szCs w:val="24"/>
        </w:rPr>
        <w:t xml:space="preserve"> </w:t>
      </w:r>
      <w:r w:rsidRPr="009D765E">
        <w:rPr>
          <w:rFonts w:ascii="Times New Roman" w:hAnsi="Times New Roman"/>
          <w:sz w:val="24"/>
          <w:szCs w:val="24"/>
        </w:rPr>
        <w:t xml:space="preserve">Por esto, asegurar el diagnóstico así como el tratamiento oportuno en estos grupos etarios jóvenes debe formar parte de la estrategia operativa de los programas de control en áreas endémicas o con bajo nivel de transmisión. El objetivo de este trabajo fue identificar la </w:t>
      </w:r>
      <w:proofErr w:type="spellStart"/>
      <w:r w:rsidRPr="009D765E">
        <w:rPr>
          <w:rFonts w:ascii="Times New Roman" w:hAnsi="Times New Roman"/>
          <w:sz w:val="24"/>
          <w:szCs w:val="24"/>
        </w:rPr>
        <w:t>seroprevalencia</w:t>
      </w:r>
      <w:proofErr w:type="spellEnd"/>
      <w:r w:rsidRPr="009D765E">
        <w:rPr>
          <w:rFonts w:ascii="Times New Roman" w:hAnsi="Times New Roman"/>
          <w:sz w:val="24"/>
          <w:szCs w:val="24"/>
        </w:rPr>
        <w:t xml:space="preserve"> </w:t>
      </w:r>
      <w:r>
        <w:rPr>
          <w:rFonts w:ascii="Times New Roman" w:hAnsi="Times New Roman"/>
          <w:sz w:val="24"/>
          <w:szCs w:val="24"/>
        </w:rPr>
        <w:t xml:space="preserve">de </w:t>
      </w:r>
      <w:r w:rsidRPr="009D765E">
        <w:rPr>
          <w:rFonts w:ascii="Times New Roman" w:hAnsi="Times New Roman"/>
          <w:sz w:val="24"/>
          <w:szCs w:val="24"/>
        </w:rPr>
        <w:t xml:space="preserve">la infección por </w:t>
      </w:r>
      <w:proofErr w:type="spellStart"/>
      <w:r w:rsidRPr="009D765E">
        <w:rPr>
          <w:rFonts w:ascii="Times New Roman" w:hAnsi="Times New Roman"/>
          <w:i/>
          <w:sz w:val="24"/>
          <w:szCs w:val="24"/>
        </w:rPr>
        <w:t>Trypanosoma</w:t>
      </w:r>
      <w:proofErr w:type="spellEnd"/>
      <w:r w:rsidRPr="009D765E">
        <w:rPr>
          <w:rFonts w:ascii="Times New Roman" w:hAnsi="Times New Roman"/>
          <w:i/>
          <w:sz w:val="24"/>
          <w:szCs w:val="24"/>
        </w:rPr>
        <w:t xml:space="preserve"> </w:t>
      </w:r>
      <w:proofErr w:type="spellStart"/>
      <w:r w:rsidRPr="009D765E">
        <w:rPr>
          <w:rFonts w:ascii="Times New Roman" w:hAnsi="Times New Roman"/>
          <w:i/>
          <w:sz w:val="24"/>
          <w:szCs w:val="24"/>
        </w:rPr>
        <w:t>cruzi</w:t>
      </w:r>
      <w:proofErr w:type="spellEnd"/>
      <w:r w:rsidRPr="009D765E">
        <w:rPr>
          <w:rFonts w:ascii="Times New Roman" w:hAnsi="Times New Roman"/>
          <w:sz w:val="24"/>
          <w:szCs w:val="24"/>
        </w:rPr>
        <w:t xml:space="preserve"> en niños en edad escolar en localidades de las provincias de Salta y de Chaco.</w:t>
      </w:r>
      <w:r>
        <w:rPr>
          <w:rFonts w:ascii="Times New Roman" w:hAnsi="Times New Roman"/>
          <w:sz w:val="24"/>
          <w:szCs w:val="24"/>
        </w:rPr>
        <w:tab/>
      </w:r>
      <w:r>
        <w:rPr>
          <w:rFonts w:ascii="Times New Roman" w:hAnsi="Times New Roman"/>
          <w:sz w:val="24"/>
          <w:szCs w:val="24"/>
        </w:rPr>
        <w:tab/>
        <w:t xml:space="preserve">        </w:t>
      </w:r>
    </w:p>
    <w:p w:rsidR="00E6475B" w:rsidRDefault="00E6475B" w:rsidP="00E6475B">
      <w:pPr>
        <w:contextualSpacing/>
        <w:jc w:val="both"/>
        <w:rPr>
          <w:rFonts w:ascii="Times New Roman" w:hAnsi="Times New Roman"/>
          <w:sz w:val="24"/>
          <w:szCs w:val="24"/>
        </w:rPr>
      </w:pPr>
      <w:r w:rsidRPr="003D2FAB">
        <w:rPr>
          <w:rFonts w:ascii="Times New Roman" w:hAnsi="Times New Roman"/>
          <w:b/>
          <w:sz w:val="24"/>
          <w:szCs w:val="24"/>
        </w:rPr>
        <w:t>MATERIALES Y MÉTODOS</w:t>
      </w:r>
      <w:r>
        <w:rPr>
          <w:rFonts w:ascii="Times New Roman" w:hAnsi="Times New Roman"/>
        </w:rPr>
        <w:t xml:space="preserve">: </w:t>
      </w:r>
      <w:r w:rsidRPr="003D2FAB">
        <w:rPr>
          <w:rFonts w:ascii="Times New Roman" w:hAnsi="Times New Roman"/>
          <w:sz w:val="24"/>
          <w:szCs w:val="24"/>
        </w:rPr>
        <w:t xml:space="preserve">El estudio se </w:t>
      </w:r>
      <w:r>
        <w:rPr>
          <w:rFonts w:ascii="Times New Roman" w:hAnsi="Times New Roman"/>
          <w:sz w:val="24"/>
          <w:szCs w:val="24"/>
        </w:rPr>
        <w:t>desarrolló en localidades de la</w:t>
      </w:r>
      <w:r w:rsidRPr="003D2FAB">
        <w:rPr>
          <w:rFonts w:ascii="Times New Roman" w:hAnsi="Times New Roman"/>
          <w:sz w:val="24"/>
          <w:szCs w:val="24"/>
        </w:rPr>
        <w:t xml:space="preserve"> provincia de Salta</w:t>
      </w:r>
      <w:r>
        <w:rPr>
          <w:rFonts w:ascii="Times New Roman" w:hAnsi="Times New Roman"/>
          <w:sz w:val="24"/>
          <w:szCs w:val="24"/>
        </w:rPr>
        <w:t>:</w:t>
      </w:r>
      <w:r w:rsidRPr="003D2FAB">
        <w:rPr>
          <w:rFonts w:ascii="Times New Roman" w:hAnsi="Times New Roman"/>
          <w:sz w:val="24"/>
          <w:szCs w:val="24"/>
        </w:rPr>
        <w:t xml:space="preserve"> </w:t>
      </w:r>
      <w:r>
        <w:rPr>
          <w:rFonts w:ascii="Times New Roman" w:hAnsi="Times New Roman"/>
          <w:sz w:val="24"/>
          <w:szCs w:val="24"/>
        </w:rPr>
        <w:t>C</w:t>
      </w:r>
      <w:r w:rsidRPr="003D2FAB">
        <w:rPr>
          <w:rFonts w:ascii="Times New Roman" w:hAnsi="Times New Roman"/>
          <w:sz w:val="24"/>
          <w:szCs w:val="24"/>
        </w:rPr>
        <w:t xml:space="preserve">iudad de Salta, </w:t>
      </w:r>
      <w:r>
        <w:rPr>
          <w:rFonts w:ascii="Times New Roman" w:hAnsi="Times New Roman"/>
          <w:sz w:val="24"/>
          <w:szCs w:val="24"/>
        </w:rPr>
        <w:t xml:space="preserve"> departamento San Carlos y La Unión y en Taco Pozo</w:t>
      </w:r>
      <w:r w:rsidRPr="003D2FAB">
        <w:rPr>
          <w:rFonts w:ascii="Times New Roman" w:hAnsi="Times New Roman"/>
          <w:sz w:val="24"/>
          <w:szCs w:val="24"/>
        </w:rPr>
        <w:t xml:space="preserve"> </w:t>
      </w:r>
      <w:r>
        <w:rPr>
          <w:rFonts w:ascii="Times New Roman" w:hAnsi="Times New Roman"/>
          <w:sz w:val="24"/>
          <w:szCs w:val="24"/>
        </w:rPr>
        <w:t>e</w:t>
      </w:r>
      <w:r w:rsidRPr="003D2FAB">
        <w:rPr>
          <w:rFonts w:ascii="Times New Roman" w:hAnsi="Times New Roman"/>
          <w:sz w:val="24"/>
          <w:szCs w:val="24"/>
        </w:rPr>
        <w:t>n la provinc</w:t>
      </w:r>
      <w:r>
        <w:rPr>
          <w:rFonts w:ascii="Times New Roman" w:hAnsi="Times New Roman"/>
          <w:sz w:val="24"/>
          <w:szCs w:val="24"/>
        </w:rPr>
        <w:t>ia del Chaco</w:t>
      </w:r>
      <w:r w:rsidRPr="003D2FAB">
        <w:rPr>
          <w:rFonts w:ascii="Times New Roman" w:hAnsi="Times New Roman"/>
          <w:sz w:val="24"/>
          <w:szCs w:val="24"/>
        </w:rPr>
        <w:t>.</w:t>
      </w:r>
      <w:r>
        <w:rPr>
          <w:rFonts w:ascii="Times New Roman" w:hAnsi="Times New Roman"/>
          <w:sz w:val="24"/>
          <w:szCs w:val="24"/>
        </w:rPr>
        <w:t xml:space="preserve"> S</w:t>
      </w:r>
      <w:r w:rsidRPr="003D2FAB">
        <w:rPr>
          <w:rFonts w:ascii="Times New Roman" w:hAnsi="Times New Roman"/>
          <w:sz w:val="24"/>
          <w:szCs w:val="24"/>
        </w:rPr>
        <w:t xml:space="preserve">e realizó durante los años 2006 al 2008. Se utilizaron formularios de consentimiento </w:t>
      </w:r>
      <w:r>
        <w:rPr>
          <w:rFonts w:ascii="Times New Roman" w:hAnsi="Times New Roman"/>
          <w:sz w:val="24"/>
          <w:szCs w:val="24"/>
        </w:rPr>
        <w:t xml:space="preserve"> informado.</w:t>
      </w:r>
      <w:r w:rsidRPr="003D2FAB">
        <w:rPr>
          <w:rFonts w:ascii="Times New Roman" w:hAnsi="Times New Roman"/>
          <w:sz w:val="24"/>
          <w:szCs w:val="24"/>
        </w:rPr>
        <w:t xml:space="preserve"> </w:t>
      </w:r>
      <w:r>
        <w:rPr>
          <w:rFonts w:ascii="Times New Roman" w:hAnsi="Times New Roman"/>
          <w:sz w:val="24"/>
          <w:szCs w:val="24"/>
        </w:rPr>
        <w:t>S</w:t>
      </w:r>
      <w:r w:rsidRPr="003D2FAB">
        <w:rPr>
          <w:rFonts w:ascii="Times New Roman" w:hAnsi="Times New Roman"/>
          <w:sz w:val="24"/>
          <w:szCs w:val="24"/>
        </w:rPr>
        <w:t xml:space="preserve">e trabajó en 46 escuelas </w:t>
      </w:r>
      <w:r>
        <w:rPr>
          <w:rFonts w:ascii="Times New Roman" w:hAnsi="Times New Roman"/>
          <w:sz w:val="24"/>
          <w:szCs w:val="24"/>
        </w:rPr>
        <w:t>de</w:t>
      </w:r>
      <w:r w:rsidRPr="003D2FAB">
        <w:rPr>
          <w:rFonts w:ascii="Times New Roman" w:hAnsi="Times New Roman"/>
          <w:sz w:val="24"/>
          <w:szCs w:val="24"/>
        </w:rPr>
        <w:t xml:space="preserve"> la ciudad de Salta, </w:t>
      </w:r>
      <w:r>
        <w:rPr>
          <w:rFonts w:ascii="Times New Roman" w:hAnsi="Times New Roman"/>
          <w:sz w:val="24"/>
          <w:szCs w:val="24"/>
        </w:rPr>
        <w:t xml:space="preserve">en parajes de </w:t>
      </w:r>
      <w:r w:rsidRPr="003D2FAB">
        <w:rPr>
          <w:rFonts w:ascii="Times New Roman" w:hAnsi="Times New Roman"/>
          <w:sz w:val="24"/>
          <w:szCs w:val="24"/>
        </w:rPr>
        <w:t>San Carlos; en 10 escuelas y/o  centros de salud de los parajes</w:t>
      </w:r>
      <w:r>
        <w:rPr>
          <w:rFonts w:ascii="Times New Roman" w:hAnsi="Times New Roman"/>
          <w:sz w:val="24"/>
          <w:szCs w:val="24"/>
        </w:rPr>
        <w:t xml:space="preserve"> de La Unión y</w:t>
      </w:r>
      <w:r w:rsidRPr="003D2FAB">
        <w:rPr>
          <w:rFonts w:ascii="Times New Roman" w:hAnsi="Times New Roman"/>
          <w:sz w:val="24"/>
          <w:szCs w:val="24"/>
        </w:rPr>
        <w:t xml:space="preserve"> en 7 escuelas</w:t>
      </w:r>
      <w:r>
        <w:rPr>
          <w:rFonts w:ascii="Times New Roman" w:hAnsi="Times New Roman"/>
          <w:sz w:val="24"/>
          <w:szCs w:val="24"/>
        </w:rPr>
        <w:t xml:space="preserve"> de Taco Pozo</w:t>
      </w:r>
      <w:r w:rsidRPr="003D2FAB">
        <w:rPr>
          <w:rFonts w:ascii="Times New Roman" w:hAnsi="Times New Roman"/>
          <w:sz w:val="24"/>
          <w:szCs w:val="24"/>
        </w:rPr>
        <w:t xml:space="preserve">. Diseño de corte transversal. Toma de muestra: se realizó por punción capilar </w:t>
      </w:r>
      <w:r>
        <w:rPr>
          <w:rFonts w:ascii="Times New Roman" w:hAnsi="Times New Roman"/>
          <w:sz w:val="24"/>
          <w:szCs w:val="24"/>
        </w:rPr>
        <w:t xml:space="preserve">con </w:t>
      </w:r>
      <w:r w:rsidRPr="003D2FAB">
        <w:rPr>
          <w:rFonts w:ascii="Times New Roman" w:hAnsi="Times New Roman"/>
          <w:sz w:val="24"/>
          <w:szCs w:val="24"/>
        </w:rPr>
        <w:t xml:space="preserve">equipos portátiles </w:t>
      </w:r>
      <w:proofErr w:type="spellStart"/>
      <w:r w:rsidRPr="003D2FAB">
        <w:rPr>
          <w:rFonts w:ascii="Times New Roman" w:hAnsi="Times New Roman"/>
          <w:sz w:val="24"/>
          <w:szCs w:val="24"/>
        </w:rPr>
        <w:t>Serokit</w:t>
      </w:r>
      <w:proofErr w:type="spellEnd"/>
      <w:r w:rsidRPr="003D2FAB">
        <w:rPr>
          <w:rFonts w:ascii="Times New Roman" w:hAnsi="Times New Roman"/>
          <w:sz w:val="24"/>
          <w:szCs w:val="24"/>
        </w:rPr>
        <w:t>, (</w:t>
      </w:r>
      <w:proofErr w:type="spellStart"/>
      <w:r w:rsidRPr="003D2FAB">
        <w:rPr>
          <w:rFonts w:ascii="Times New Roman" w:hAnsi="Times New Roman"/>
          <w:sz w:val="24"/>
          <w:szCs w:val="24"/>
        </w:rPr>
        <w:t>Polichaco</w:t>
      </w:r>
      <w:proofErr w:type="spellEnd"/>
      <w:r w:rsidRPr="003D2FAB">
        <w:rPr>
          <w:rFonts w:ascii="Times New Roman" w:hAnsi="Times New Roman"/>
          <w:sz w:val="24"/>
          <w:szCs w:val="24"/>
        </w:rPr>
        <w:t xml:space="preserve"> </w:t>
      </w:r>
      <w:proofErr w:type="spellStart"/>
      <w:r w:rsidRPr="003D2FAB">
        <w:rPr>
          <w:rFonts w:ascii="Times New Roman" w:hAnsi="Times New Roman"/>
          <w:sz w:val="24"/>
          <w:szCs w:val="24"/>
        </w:rPr>
        <w:t>Biotica</w:t>
      </w:r>
      <w:proofErr w:type="spellEnd"/>
      <w:r w:rsidRPr="003D2FAB">
        <w:rPr>
          <w:rFonts w:ascii="Times New Roman" w:hAnsi="Times New Roman"/>
          <w:sz w:val="24"/>
          <w:szCs w:val="24"/>
        </w:rPr>
        <w:t>). Confirmación de los casos seropositivos o dudosos en las muestras tomadas por punción capilar: se procedía a realizar una nueva toma de muestra por punción venosa</w:t>
      </w:r>
      <w:r>
        <w:rPr>
          <w:rFonts w:ascii="Times New Roman" w:hAnsi="Times New Roman"/>
          <w:sz w:val="24"/>
          <w:szCs w:val="24"/>
        </w:rPr>
        <w:t xml:space="preserve">, y obtención de suero, </w:t>
      </w:r>
      <w:r w:rsidRPr="003D2FAB">
        <w:rPr>
          <w:rFonts w:ascii="Times New Roman" w:hAnsi="Times New Roman"/>
          <w:sz w:val="24"/>
          <w:szCs w:val="24"/>
        </w:rPr>
        <w:t xml:space="preserve">para </w:t>
      </w:r>
      <w:r>
        <w:rPr>
          <w:rFonts w:ascii="Times New Roman" w:hAnsi="Times New Roman"/>
          <w:sz w:val="24"/>
          <w:szCs w:val="24"/>
        </w:rPr>
        <w:t>realizar nuevamente</w:t>
      </w:r>
      <w:r w:rsidRPr="003D2FAB">
        <w:rPr>
          <w:rFonts w:ascii="Times New Roman" w:hAnsi="Times New Roman"/>
          <w:sz w:val="24"/>
          <w:szCs w:val="24"/>
        </w:rPr>
        <w:t>: H</w:t>
      </w:r>
      <w:r>
        <w:rPr>
          <w:rFonts w:ascii="Times New Roman" w:hAnsi="Times New Roman"/>
          <w:sz w:val="24"/>
          <w:szCs w:val="24"/>
        </w:rPr>
        <w:t>AI</w:t>
      </w:r>
      <w:r w:rsidRPr="003D2FAB">
        <w:rPr>
          <w:rFonts w:ascii="Times New Roman" w:hAnsi="Times New Roman"/>
          <w:sz w:val="24"/>
          <w:szCs w:val="24"/>
        </w:rPr>
        <w:t xml:space="preserve"> y ELISA. Se definió como infectado al paciente que poseía</w:t>
      </w:r>
      <w:r>
        <w:rPr>
          <w:rFonts w:ascii="Times New Roman" w:hAnsi="Times New Roman"/>
          <w:sz w:val="24"/>
          <w:szCs w:val="24"/>
        </w:rPr>
        <w:t xml:space="preserve"> dos  pruebas serológicas</w:t>
      </w:r>
      <w:r w:rsidRPr="003D2FAB">
        <w:rPr>
          <w:rFonts w:ascii="Times New Roman" w:hAnsi="Times New Roman"/>
          <w:sz w:val="24"/>
          <w:szCs w:val="24"/>
        </w:rPr>
        <w:t xml:space="preserve"> reactivas. Casos seropositivos confirmados: Se realizó un examen físico a cada niño, toma de electrocardiograma y </w:t>
      </w:r>
      <w:r w:rsidRPr="003D2FAB">
        <w:rPr>
          <w:rFonts w:ascii="Times New Roman" w:hAnsi="Times New Roman"/>
          <w:sz w:val="24"/>
          <w:szCs w:val="24"/>
          <w:lang w:val="es-ES_tradnl"/>
        </w:rPr>
        <w:t>análisis de laboratorio; estos se repitieron a los 30 y 60 días de iniciado el tratamiento.  S</w:t>
      </w:r>
      <w:r w:rsidRPr="003D2FAB">
        <w:rPr>
          <w:rFonts w:ascii="Times New Roman" w:hAnsi="Times New Roman"/>
          <w:sz w:val="24"/>
          <w:szCs w:val="24"/>
        </w:rPr>
        <w:t xml:space="preserve">e trataron con </w:t>
      </w:r>
      <w:proofErr w:type="spellStart"/>
      <w:r w:rsidRPr="003D2FAB">
        <w:rPr>
          <w:rFonts w:ascii="Times New Roman" w:hAnsi="Times New Roman"/>
          <w:sz w:val="24"/>
          <w:szCs w:val="24"/>
        </w:rPr>
        <w:t>Benznidazol</w:t>
      </w:r>
      <w:proofErr w:type="spellEnd"/>
      <w:r w:rsidRPr="003D2FAB">
        <w:rPr>
          <w:rFonts w:ascii="Times New Roman" w:hAnsi="Times New Roman"/>
          <w:sz w:val="24"/>
          <w:szCs w:val="24"/>
        </w:rPr>
        <w:t xml:space="preserve"> ® durante 60 días en dosis de 5 – 7mg/kg/día. También se citaron a los hermanos del caso positivo. Se informó a los padres las características del tratamiento, su seguimiento y el manejo de eventuales efectos adversos. Consideraciones éticas. El protocolo de investigación incluyendo el consentimiento informado fue aprobado por el Comité de Ética de la Facultad de Ciencias de la Salud de la Universidad Nacional de Salta. Análisis Estadístico: Se elaboraron tablas con frecuencias absolutas y relativas.</w:t>
      </w:r>
    </w:p>
    <w:p w:rsidR="00E6475B" w:rsidRPr="00995B4A" w:rsidRDefault="00E6475B" w:rsidP="00E6475B">
      <w:pPr>
        <w:contextualSpacing/>
        <w:rPr>
          <w:rFonts w:ascii="Times New Roman" w:hAnsi="Times New Roman"/>
          <w:b/>
          <w:sz w:val="24"/>
          <w:szCs w:val="24"/>
        </w:rPr>
      </w:pPr>
      <w:r w:rsidRPr="00995B4A">
        <w:rPr>
          <w:rFonts w:ascii="Times New Roman" w:hAnsi="Times New Roman"/>
          <w:b/>
          <w:sz w:val="24"/>
          <w:szCs w:val="24"/>
        </w:rPr>
        <w:t>RESULTADOS</w:t>
      </w:r>
    </w:p>
    <w:tbl>
      <w:tblPr>
        <w:tblW w:w="5080" w:type="dxa"/>
        <w:tblInd w:w="55" w:type="dxa"/>
        <w:tblCellMar>
          <w:left w:w="70" w:type="dxa"/>
          <w:right w:w="70" w:type="dxa"/>
        </w:tblCellMar>
        <w:tblLook w:val="04A0" w:firstRow="1" w:lastRow="0" w:firstColumn="1" w:lastColumn="0" w:noHBand="0" w:noVBand="1"/>
      </w:tblPr>
      <w:tblGrid>
        <w:gridCol w:w="1958"/>
        <w:gridCol w:w="970"/>
        <w:gridCol w:w="1243"/>
        <w:gridCol w:w="909"/>
      </w:tblGrid>
      <w:tr w:rsidR="00E6475B" w:rsidRPr="00505C91" w:rsidTr="005665FF">
        <w:trPr>
          <w:trHeight w:val="300"/>
        </w:trPr>
        <w:tc>
          <w:tcPr>
            <w:tcW w:w="5080" w:type="dxa"/>
            <w:gridSpan w:val="4"/>
            <w:tcBorders>
              <w:top w:val="nil"/>
              <w:left w:val="nil"/>
              <w:bottom w:val="nil"/>
              <w:right w:val="nil"/>
            </w:tcBorders>
            <w:shd w:val="clear" w:color="auto" w:fill="auto"/>
            <w:noWrap/>
            <w:vAlign w:val="bottom"/>
            <w:hideMark/>
          </w:tcPr>
          <w:p w:rsidR="00E6475B" w:rsidRPr="00505C91" w:rsidRDefault="00E6475B" w:rsidP="005665FF">
            <w:pPr>
              <w:spacing w:after="0" w:line="240" w:lineRule="auto"/>
              <w:rPr>
                <w:rFonts w:ascii="Times New Roman" w:hAnsi="Times New Roman"/>
                <w:color w:val="000000"/>
                <w:sz w:val="20"/>
                <w:szCs w:val="20"/>
              </w:rPr>
            </w:pPr>
            <w:r w:rsidRPr="00505C91">
              <w:rPr>
                <w:rFonts w:ascii="Times New Roman" w:hAnsi="Times New Roman"/>
                <w:color w:val="000000"/>
                <w:sz w:val="20"/>
                <w:szCs w:val="20"/>
                <w:lang w:val="es-ES"/>
              </w:rPr>
              <w:t>Tabla 1. Prevalencia de escolares estudiados en las diferentes</w:t>
            </w:r>
            <w:r>
              <w:rPr>
                <w:rFonts w:ascii="Times New Roman" w:hAnsi="Times New Roman"/>
                <w:color w:val="000000"/>
                <w:sz w:val="20"/>
                <w:szCs w:val="20"/>
                <w:lang w:val="es-ES"/>
              </w:rPr>
              <w:t xml:space="preserve"> </w:t>
            </w:r>
            <w:r w:rsidRPr="00505C91">
              <w:rPr>
                <w:rFonts w:ascii="Times New Roman" w:hAnsi="Times New Roman"/>
                <w:color w:val="000000"/>
                <w:sz w:val="20"/>
                <w:szCs w:val="20"/>
                <w:lang w:val="es-ES"/>
              </w:rPr>
              <w:t>localidades</w:t>
            </w:r>
          </w:p>
        </w:tc>
      </w:tr>
      <w:tr w:rsidR="00E6475B" w:rsidRPr="00505C91" w:rsidTr="005665FF">
        <w:trPr>
          <w:trHeight w:val="510"/>
        </w:trPr>
        <w:tc>
          <w:tcPr>
            <w:tcW w:w="1958" w:type="dxa"/>
            <w:tcBorders>
              <w:top w:val="single" w:sz="4" w:space="0" w:color="auto"/>
              <w:left w:val="nil"/>
              <w:bottom w:val="single" w:sz="4" w:space="0" w:color="auto"/>
              <w:right w:val="nil"/>
            </w:tcBorders>
            <w:shd w:val="clear" w:color="auto" w:fill="auto"/>
            <w:noWrap/>
            <w:hideMark/>
          </w:tcPr>
          <w:p w:rsidR="00E6475B" w:rsidRPr="00505C91" w:rsidRDefault="00E6475B" w:rsidP="005665FF">
            <w:pPr>
              <w:spacing w:after="0" w:line="240" w:lineRule="auto"/>
              <w:rPr>
                <w:rFonts w:ascii="Times New Roman" w:hAnsi="Times New Roman"/>
                <w:sz w:val="20"/>
                <w:szCs w:val="20"/>
              </w:rPr>
            </w:pPr>
            <w:r w:rsidRPr="00505C91">
              <w:rPr>
                <w:rFonts w:ascii="Times New Roman" w:hAnsi="Times New Roman"/>
                <w:sz w:val="20"/>
                <w:szCs w:val="20"/>
                <w:lang w:val="es-PR"/>
              </w:rPr>
              <w:t>Localidad</w:t>
            </w:r>
          </w:p>
        </w:tc>
        <w:tc>
          <w:tcPr>
            <w:tcW w:w="970" w:type="dxa"/>
            <w:tcBorders>
              <w:top w:val="single" w:sz="4" w:space="0" w:color="auto"/>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PR"/>
              </w:rPr>
              <w:t>Escolares (n)</w:t>
            </w:r>
          </w:p>
        </w:tc>
        <w:tc>
          <w:tcPr>
            <w:tcW w:w="1243" w:type="dxa"/>
            <w:tcBorders>
              <w:top w:val="single" w:sz="4" w:space="0" w:color="auto"/>
              <w:left w:val="nil"/>
              <w:bottom w:val="single" w:sz="4" w:space="0" w:color="auto"/>
              <w:right w:val="nil"/>
            </w:tcBorders>
            <w:shd w:val="clear" w:color="auto" w:fill="auto"/>
            <w:noWrap/>
            <w:hideMark/>
          </w:tcPr>
          <w:p w:rsidR="00E6475B" w:rsidRPr="00505C91" w:rsidRDefault="00E6475B" w:rsidP="005665FF">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Escolares (+) n</w:t>
            </w:r>
          </w:p>
        </w:tc>
        <w:tc>
          <w:tcPr>
            <w:tcW w:w="909" w:type="dxa"/>
            <w:tcBorders>
              <w:top w:val="single" w:sz="4" w:space="0" w:color="auto"/>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PR"/>
              </w:rPr>
              <w:t>Escolares (% +)</w:t>
            </w:r>
          </w:p>
        </w:tc>
      </w:tr>
      <w:tr w:rsidR="00E6475B" w:rsidRPr="00505C91" w:rsidTr="005665FF">
        <w:trPr>
          <w:trHeight w:val="300"/>
        </w:trPr>
        <w:tc>
          <w:tcPr>
            <w:tcW w:w="1958"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rPr>
                <w:rFonts w:ascii="Times New Roman" w:hAnsi="Times New Roman"/>
                <w:sz w:val="20"/>
                <w:szCs w:val="20"/>
              </w:rPr>
            </w:pPr>
            <w:r w:rsidRPr="00505C91">
              <w:rPr>
                <w:rFonts w:ascii="Times New Roman" w:hAnsi="Times New Roman"/>
                <w:sz w:val="20"/>
                <w:szCs w:val="20"/>
                <w:lang w:val="es-PR"/>
              </w:rPr>
              <w:t>Salta</w:t>
            </w:r>
          </w:p>
        </w:tc>
        <w:tc>
          <w:tcPr>
            <w:tcW w:w="970"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PR"/>
              </w:rPr>
              <w:t>15293</w:t>
            </w:r>
          </w:p>
        </w:tc>
        <w:tc>
          <w:tcPr>
            <w:tcW w:w="1243"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96</w:t>
            </w:r>
          </w:p>
        </w:tc>
        <w:tc>
          <w:tcPr>
            <w:tcW w:w="909"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PR"/>
              </w:rPr>
              <w:t>0.63</w:t>
            </w:r>
          </w:p>
        </w:tc>
      </w:tr>
      <w:tr w:rsidR="00E6475B" w:rsidRPr="00505C91" w:rsidTr="005665FF">
        <w:trPr>
          <w:trHeight w:val="300"/>
        </w:trPr>
        <w:tc>
          <w:tcPr>
            <w:tcW w:w="1958"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rPr>
                <w:rFonts w:ascii="Times New Roman" w:hAnsi="Times New Roman"/>
                <w:sz w:val="20"/>
                <w:szCs w:val="20"/>
              </w:rPr>
            </w:pPr>
            <w:r w:rsidRPr="00505C91">
              <w:rPr>
                <w:rFonts w:ascii="Times New Roman" w:hAnsi="Times New Roman"/>
                <w:sz w:val="20"/>
                <w:szCs w:val="20"/>
                <w:lang w:val="es-ES"/>
              </w:rPr>
              <w:t>San Carlos</w:t>
            </w:r>
          </w:p>
        </w:tc>
        <w:tc>
          <w:tcPr>
            <w:tcW w:w="970"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PR"/>
              </w:rPr>
              <w:t>243</w:t>
            </w:r>
          </w:p>
        </w:tc>
        <w:tc>
          <w:tcPr>
            <w:tcW w:w="1243"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6</w:t>
            </w:r>
          </w:p>
        </w:tc>
        <w:tc>
          <w:tcPr>
            <w:tcW w:w="909"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ES"/>
              </w:rPr>
              <w:t>2.47</w:t>
            </w:r>
          </w:p>
        </w:tc>
      </w:tr>
      <w:tr w:rsidR="00E6475B" w:rsidRPr="00505C91" w:rsidTr="005665FF">
        <w:trPr>
          <w:trHeight w:val="300"/>
        </w:trPr>
        <w:tc>
          <w:tcPr>
            <w:tcW w:w="1958"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rPr>
                <w:rFonts w:ascii="Times New Roman" w:hAnsi="Times New Roman"/>
                <w:sz w:val="20"/>
                <w:szCs w:val="20"/>
              </w:rPr>
            </w:pPr>
            <w:r w:rsidRPr="00505C91">
              <w:rPr>
                <w:rFonts w:ascii="Times New Roman" w:hAnsi="Times New Roman"/>
                <w:sz w:val="20"/>
                <w:szCs w:val="20"/>
                <w:lang w:val="es-ES"/>
              </w:rPr>
              <w:t xml:space="preserve">La Unión </w:t>
            </w:r>
          </w:p>
        </w:tc>
        <w:tc>
          <w:tcPr>
            <w:tcW w:w="970"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PR"/>
              </w:rPr>
              <w:t>948</w:t>
            </w:r>
          </w:p>
        </w:tc>
        <w:tc>
          <w:tcPr>
            <w:tcW w:w="1243"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34</w:t>
            </w:r>
          </w:p>
        </w:tc>
        <w:tc>
          <w:tcPr>
            <w:tcW w:w="909"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PR"/>
              </w:rPr>
              <w:t>3.59</w:t>
            </w:r>
          </w:p>
        </w:tc>
      </w:tr>
      <w:tr w:rsidR="00E6475B" w:rsidRPr="00505C91" w:rsidTr="005665FF">
        <w:trPr>
          <w:trHeight w:val="300"/>
        </w:trPr>
        <w:tc>
          <w:tcPr>
            <w:tcW w:w="1958"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rPr>
                <w:rFonts w:ascii="Times New Roman" w:hAnsi="Times New Roman"/>
                <w:sz w:val="20"/>
                <w:szCs w:val="20"/>
              </w:rPr>
            </w:pPr>
            <w:r w:rsidRPr="00505C91">
              <w:rPr>
                <w:rFonts w:ascii="Times New Roman" w:hAnsi="Times New Roman"/>
                <w:sz w:val="20"/>
                <w:szCs w:val="20"/>
                <w:lang w:val="es-PR"/>
              </w:rPr>
              <w:lastRenderedPageBreak/>
              <w:t>Total Provincia de Salta</w:t>
            </w:r>
          </w:p>
        </w:tc>
        <w:tc>
          <w:tcPr>
            <w:tcW w:w="970"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PR"/>
              </w:rPr>
              <w:t>16488</w:t>
            </w:r>
          </w:p>
        </w:tc>
        <w:tc>
          <w:tcPr>
            <w:tcW w:w="1243"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136</w:t>
            </w:r>
          </w:p>
        </w:tc>
        <w:tc>
          <w:tcPr>
            <w:tcW w:w="909"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ES"/>
              </w:rPr>
              <w:t>0.83</w:t>
            </w:r>
          </w:p>
        </w:tc>
      </w:tr>
      <w:tr w:rsidR="00E6475B" w:rsidRPr="00505C91" w:rsidTr="005665FF">
        <w:trPr>
          <w:trHeight w:val="300"/>
        </w:trPr>
        <w:tc>
          <w:tcPr>
            <w:tcW w:w="1958"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rPr>
                <w:rFonts w:ascii="Times New Roman" w:hAnsi="Times New Roman"/>
                <w:sz w:val="20"/>
                <w:szCs w:val="20"/>
              </w:rPr>
            </w:pPr>
            <w:r w:rsidRPr="00505C91">
              <w:rPr>
                <w:rFonts w:ascii="Times New Roman" w:hAnsi="Times New Roman"/>
                <w:sz w:val="20"/>
                <w:szCs w:val="20"/>
                <w:lang w:val="es-PR"/>
              </w:rPr>
              <w:t>Taco Pozo</w:t>
            </w:r>
          </w:p>
        </w:tc>
        <w:tc>
          <w:tcPr>
            <w:tcW w:w="970"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PR"/>
              </w:rPr>
              <w:t>1400</w:t>
            </w:r>
          </w:p>
        </w:tc>
        <w:tc>
          <w:tcPr>
            <w:tcW w:w="1243"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23</w:t>
            </w:r>
          </w:p>
        </w:tc>
        <w:tc>
          <w:tcPr>
            <w:tcW w:w="909"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ES"/>
              </w:rPr>
              <w:t>1.64</w:t>
            </w:r>
          </w:p>
        </w:tc>
      </w:tr>
      <w:tr w:rsidR="00E6475B" w:rsidRPr="00505C91" w:rsidTr="005665FF">
        <w:trPr>
          <w:trHeight w:val="300"/>
        </w:trPr>
        <w:tc>
          <w:tcPr>
            <w:tcW w:w="1958"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rPr>
                <w:rFonts w:ascii="Times New Roman" w:hAnsi="Times New Roman"/>
                <w:sz w:val="20"/>
                <w:szCs w:val="20"/>
              </w:rPr>
            </w:pPr>
            <w:r w:rsidRPr="00505C91">
              <w:rPr>
                <w:rFonts w:ascii="Times New Roman" w:hAnsi="Times New Roman"/>
                <w:sz w:val="20"/>
                <w:szCs w:val="20"/>
                <w:lang w:val="es-ES"/>
              </w:rPr>
              <w:t>Total General</w:t>
            </w:r>
          </w:p>
        </w:tc>
        <w:tc>
          <w:tcPr>
            <w:tcW w:w="970"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PR"/>
              </w:rPr>
              <w:t>17884</w:t>
            </w:r>
          </w:p>
        </w:tc>
        <w:tc>
          <w:tcPr>
            <w:tcW w:w="1243" w:type="dxa"/>
            <w:tcBorders>
              <w:top w:val="nil"/>
              <w:left w:val="nil"/>
              <w:bottom w:val="single" w:sz="4" w:space="0" w:color="auto"/>
              <w:right w:val="nil"/>
            </w:tcBorders>
            <w:shd w:val="clear" w:color="auto" w:fill="auto"/>
            <w:noWrap/>
            <w:hideMark/>
          </w:tcPr>
          <w:p w:rsidR="00E6475B" w:rsidRPr="00505C91" w:rsidRDefault="00E6475B" w:rsidP="005665FF">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159</w:t>
            </w:r>
          </w:p>
        </w:tc>
        <w:tc>
          <w:tcPr>
            <w:tcW w:w="909" w:type="dxa"/>
            <w:tcBorders>
              <w:top w:val="nil"/>
              <w:left w:val="nil"/>
              <w:bottom w:val="single" w:sz="4" w:space="0" w:color="auto"/>
              <w:right w:val="nil"/>
            </w:tcBorders>
            <w:shd w:val="clear" w:color="auto" w:fill="auto"/>
            <w:hideMark/>
          </w:tcPr>
          <w:p w:rsidR="00E6475B" w:rsidRPr="00505C91" w:rsidRDefault="00E6475B" w:rsidP="005665FF">
            <w:pPr>
              <w:spacing w:after="0" w:line="240" w:lineRule="auto"/>
              <w:jc w:val="center"/>
              <w:rPr>
                <w:rFonts w:ascii="Times New Roman" w:hAnsi="Times New Roman"/>
                <w:sz w:val="20"/>
                <w:szCs w:val="20"/>
              </w:rPr>
            </w:pPr>
            <w:r w:rsidRPr="00505C91">
              <w:rPr>
                <w:rFonts w:ascii="Times New Roman" w:hAnsi="Times New Roman"/>
                <w:sz w:val="20"/>
                <w:szCs w:val="20"/>
                <w:lang w:val="es-ES"/>
              </w:rPr>
              <w:t>0.89</w:t>
            </w:r>
          </w:p>
        </w:tc>
      </w:tr>
    </w:tbl>
    <w:p w:rsidR="00E6475B" w:rsidRPr="00505C91" w:rsidRDefault="00E6475B" w:rsidP="00E6475B">
      <w:pPr>
        <w:spacing w:after="0" w:line="240" w:lineRule="auto"/>
        <w:jc w:val="center"/>
        <w:rPr>
          <w:rFonts w:ascii="Times New Roman" w:hAnsi="Times New Roman"/>
          <w:color w:val="000000"/>
          <w:sz w:val="20"/>
          <w:szCs w:val="20"/>
        </w:rPr>
      </w:pPr>
    </w:p>
    <w:p w:rsidR="00E6475B" w:rsidRPr="00505C91" w:rsidRDefault="00E6475B" w:rsidP="00E6475B">
      <w:pPr>
        <w:spacing w:after="0" w:line="240" w:lineRule="auto"/>
        <w:rPr>
          <w:rFonts w:ascii="Times New Roman" w:hAnsi="Times New Roman"/>
          <w:color w:val="000000"/>
          <w:sz w:val="20"/>
          <w:szCs w:val="20"/>
        </w:rPr>
      </w:pPr>
      <w:r w:rsidRPr="00505C91">
        <w:rPr>
          <w:rFonts w:ascii="Times New Roman" w:hAnsi="Times New Roman"/>
          <w:color w:val="000000"/>
          <w:sz w:val="20"/>
          <w:szCs w:val="20"/>
          <w:lang w:val="es-ES"/>
        </w:rPr>
        <w:t xml:space="preserve">Tabla 2. </w:t>
      </w:r>
      <w:proofErr w:type="spellStart"/>
      <w:r w:rsidRPr="00505C91">
        <w:rPr>
          <w:rFonts w:ascii="Times New Roman" w:hAnsi="Times New Roman"/>
          <w:color w:val="000000"/>
          <w:sz w:val="20"/>
          <w:szCs w:val="20"/>
          <w:lang w:val="es-ES"/>
        </w:rPr>
        <w:t>Seroprevalencia</w:t>
      </w:r>
      <w:proofErr w:type="spellEnd"/>
      <w:r w:rsidRPr="00505C91">
        <w:rPr>
          <w:rFonts w:ascii="Times New Roman" w:hAnsi="Times New Roman"/>
          <w:color w:val="000000"/>
          <w:sz w:val="20"/>
          <w:szCs w:val="20"/>
          <w:lang w:val="es-ES"/>
        </w:rPr>
        <w:t xml:space="preserve"> de escolares (n= 15293) y hermanos estudiados (n=141) en la ciudad de Salta, distribuidos por edad (n = Total: 15434).</w:t>
      </w:r>
    </w:p>
    <w:tbl>
      <w:tblPr>
        <w:tblW w:w="5798" w:type="dxa"/>
        <w:tblInd w:w="55" w:type="dxa"/>
        <w:tblCellMar>
          <w:left w:w="70" w:type="dxa"/>
          <w:right w:w="70" w:type="dxa"/>
        </w:tblCellMar>
        <w:tblLook w:val="04A0" w:firstRow="1" w:lastRow="0" w:firstColumn="1" w:lastColumn="0" w:noHBand="0" w:noVBand="1"/>
      </w:tblPr>
      <w:tblGrid>
        <w:gridCol w:w="1978"/>
        <w:gridCol w:w="340"/>
        <w:gridCol w:w="490"/>
        <w:gridCol w:w="540"/>
        <w:gridCol w:w="490"/>
        <w:gridCol w:w="540"/>
        <w:gridCol w:w="490"/>
        <w:gridCol w:w="440"/>
        <w:gridCol w:w="490"/>
      </w:tblGrid>
      <w:tr w:rsidR="00E6475B" w:rsidRPr="00BE273F" w:rsidTr="005665FF">
        <w:trPr>
          <w:trHeight w:val="525"/>
        </w:trPr>
        <w:tc>
          <w:tcPr>
            <w:tcW w:w="1978" w:type="dxa"/>
            <w:vMerge w:val="restart"/>
            <w:tcBorders>
              <w:top w:val="single" w:sz="4" w:space="0" w:color="auto"/>
              <w:left w:val="nil"/>
              <w:bottom w:val="single" w:sz="4" w:space="0" w:color="000000"/>
              <w:right w:val="nil"/>
            </w:tcBorders>
            <w:shd w:val="clear" w:color="auto" w:fill="auto"/>
            <w:hideMark/>
          </w:tcPr>
          <w:p w:rsidR="00E6475B" w:rsidRPr="00BE273F" w:rsidRDefault="00E6475B" w:rsidP="005665FF">
            <w:pPr>
              <w:spacing w:after="0" w:line="240" w:lineRule="auto"/>
              <w:jc w:val="center"/>
              <w:rPr>
                <w:rFonts w:ascii="Times New Roman" w:hAnsi="Times New Roman"/>
                <w:b/>
                <w:bCs/>
                <w:sz w:val="20"/>
                <w:szCs w:val="20"/>
              </w:rPr>
            </w:pPr>
            <w:r w:rsidRPr="00BE273F">
              <w:rPr>
                <w:rFonts w:ascii="Times New Roman" w:hAnsi="Times New Roman"/>
                <w:b/>
                <w:bCs/>
                <w:sz w:val="20"/>
                <w:szCs w:val="20"/>
                <w:lang w:val="es-PR"/>
              </w:rPr>
              <w:t xml:space="preserve">Población estudiada/grupos </w:t>
            </w:r>
            <w:proofErr w:type="spellStart"/>
            <w:r w:rsidRPr="00BE273F">
              <w:rPr>
                <w:rFonts w:ascii="Times New Roman" w:hAnsi="Times New Roman"/>
                <w:b/>
                <w:bCs/>
                <w:sz w:val="20"/>
                <w:szCs w:val="20"/>
                <w:lang w:val="es-PR"/>
              </w:rPr>
              <w:t>etários</w:t>
            </w:r>
            <w:proofErr w:type="spellEnd"/>
          </w:p>
        </w:tc>
        <w:tc>
          <w:tcPr>
            <w:tcW w:w="830" w:type="dxa"/>
            <w:gridSpan w:val="2"/>
            <w:tcBorders>
              <w:top w:val="single" w:sz="4" w:space="0" w:color="auto"/>
              <w:left w:val="nil"/>
              <w:bottom w:val="single" w:sz="4" w:space="0" w:color="auto"/>
              <w:right w:val="nil"/>
            </w:tcBorders>
            <w:shd w:val="clear" w:color="auto" w:fill="auto"/>
            <w:vAlign w:val="center"/>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1 - 4</w:t>
            </w:r>
          </w:p>
        </w:tc>
        <w:tc>
          <w:tcPr>
            <w:tcW w:w="1030" w:type="dxa"/>
            <w:gridSpan w:val="2"/>
            <w:tcBorders>
              <w:top w:val="single" w:sz="4" w:space="0" w:color="auto"/>
              <w:left w:val="nil"/>
              <w:bottom w:val="single" w:sz="4" w:space="0" w:color="auto"/>
              <w:right w:val="nil"/>
            </w:tcBorders>
            <w:shd w:val="clear" w:color="auto" w:fill="auto"/>
            <w:vAlign w:val="center"/>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5 - 9</w:t>
            </w:r>
          </w:p>
        </w:tc>
        <w:tc>
          <w:tcPr>
            <w:tcW w:w="1030" w:type="dxa"/>
            <w:gridSpan w:val="2"/>
            <w:tcBorders>
              <w:top w:val="single" w:sz="4" w:space="0" w:color="auto"/>
              <w:left w:val="nil"/>
              <w:bottom w:val="single" w:sz="4" w:space="0" w:color="auto"/>
              <w:right w:val="nil"/>
            </w:tcBorders>
            <w:shd w:val="clear" w:color="auto" w:fill="auto"/>
            <w:vAlign w:val="center"/>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 xml:space="preserve">10 - 14 </w:t>
            </w:r>
          </w:p>
        </w:tc>
        <w:tc>
          <w:tcPr>
            <w:tcW w:w="930" w:type="dxa"/>
            <w:gridSpan w:val="2"/>
            <w:tcBorders>
              <w:top w:val="single" w:sz="4" w:space="0" w:color="auto"/>
              <w:left w:val="nil"/>
              <w:bottom w:val="single" w:sz="4" w:space="0" w:color="auto"/>
              <w:right w:val="nil"/>
            </w:tcBorders>
            <w:shd w:val="clear" w:color="auto" w:fill="auto"/>
            <w:vAlign w:val="center"/>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 xml:space="preserve">&gt; 14 </w:t>
            </w:r>
          </w:p>
        </w:tc>
      </w:tr>
      <w:tr w:rsidR="00E6475B" w:rsidRPr="00BE273F" w:rsidTr="005665FF">
        <w:trPr>
          <w:trHeight w:val="300"/>
        </w:trPr>
        <w:tc>
          <w:tcPr>
            <w:tcW w:w="1978" w:type="dxa"/>
            <w:vMerge/>
            <w:tcBorders>
              <w:top w:val="single" w:sz="4" w:space="0" w:color="auto"/>
              <w:left w:val="nil"/>
              <w:bottom w:val="single" w:sz="4" w:space="0" w:color="000000"/>
              <w:right w:val="nil"/>
            </w:tcBorders>
            <w:vAlign w:val="center"/>
            <w:hideMark/>
          </w:tcPr>
          <w:p w:rsidR="00E6475B" w:rsidRPr="00BE273F" w:rsidRDefault="00E6475B" w:rsidP="005665FF">
            <w:pPr>
              <w:spacing w:after="0" w:line="240" w:lineRule="auto"/>
              <w:rPr>
                <w:rFonts w:ascii="Times New Roman" w:hAnsi="Times New Roman"/>
                <w:b/>
                <w:bCs/>
                <w:sz w:val="20"/>
                <w:szCs w:val="20"/>
              </w:rPr>
            </w:pPr>
          </w:p>
        </w:tc>
        <w:tc>
          <w:tcPr>
            <w:tcW w:w="3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n</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n</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n</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w:t>
            </w:r>
          </w:p>
        </w:tc>
        <w:tc>
          <w:tcPr>
            <w:tcW w:w="4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N</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w:t>
            </w:r>
          </w:p>
        </w:tc>
      </w:tr>
      <w:tr w:rsidR="00E6475B" w:rsidRPr="00BE273F" w:rsidTr="005665FF">
        <w:trPr>
          <w:trHeight w:val="300"/>
        </w:trPr>
        <w:tc>
          <w:tcPr>
            <w:tcW w:w="1978" w:type="dxa"/>
            <w:tcBorders>
              <w:top w:val="nil"/>
              <w:left w:val="nil"/>
              <w:bottom w:val="single" w:sz="4" w:space="0" w:color="auto"/>
              <w:right w:val="nil"/>
            </w:tcBorders>
            <w:shd w:val="clear" w:color="auto" w:fill="auto"/>
            <w:noWrap/>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lang w:val="es-PR"/>
              </w:rPr>
              <w:t>Escolares estud</w:t>
            </w:r>
            <w:r>
              <w:rPr>
                <w:rFonts w:ascii="Times New Roman" w:hAnsi="Times New Roman"/>
                <w:sz w:val="20"/>
                <w:szCs w:val="20"/>
                <w:lang w:val="es-PR"/>
              </w:rPr>
              <w:t>iados</w:t>
            </w:r>
          </w:p>
        </w:tc>
        <w:tc>
          <w:tcPr>
            <w:tcW w:w="3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53</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0,35</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8051</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52,6</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6812</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44,5</w:t>
            </w:r>
          </w:p>
        </w:tc>
        <w:tc>
          <w:tcPr>
            <w:tcW w:w="4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377</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2,5</w:t>
            </w:r>
          </w:p>
        </w:tc>
      </w:tr>
      <w:tr w:rsidR="00E6475B" w:rsidRPr="00BE273F" w:rsidTr="005665FF">
        <w:trPr>
          <w:trHeight w:val="300"/>
        </w:trPr>
        <w:tc>
          <w:tcPr>
            <w:tcW w:w="1978" w:type="dxa"/>
            <w:tcBorders>
              <w:top w:val="nil"/>
              <w:left w:val="nil"/>
              <w:bottom w:val="single" w:sz="4" w:space="0" w:color="auto"/>
              <w:right w:val="nil"/>
            </w:tcBorders>
            <w:shd w:val="clear" w:color="auto" w:fill="auto"/>
            <w:noWrap/>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lang w:val="es-PR"/>
              </w:rPr>
              <w:t>Escolares (+)</w:t>
            </w:r>
          </w:p>
        </w:tc>
        <w:tc>
          <w:tcPr>
            <w:tcW w:w="3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0</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0</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29</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0,4</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63</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0,6</w:t>
            </w:r>
          </w:p>
        </w:tc>
        <w:tc>
          <w:tcPr>
            <w:tcW w:w="4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4</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1,1</w:t>
            </w:r>
          </w:p>
        </w:tc>
      </w:tr>
      <w:tr w:rsidR="00E6475B" w:rsidRPr="00BE273F" w:rsidTr="005665FF">
        <w:trPr>
          <w:trHeight w:val="300"/>
        </w:trPr>
        <w:tc>
          <w:tcPr>
            <w:tcW w:w="1978" w:type="dxa"/>
            <w:tcBorders>
              <w:top w:val="nil"/>
              <w:left w:val="nil"/>
              <w:bottom w:val="single" w:sz="4" w:space="0" w:color="auto"/>
              <w:right w:val="nil"/>
            </w:tcBorders>
            <w:shd w:val="clear" w:color="auto" w:fill="auto"/>
            <w:noWrap/>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lang w:val="es-PR"/>
              </w:rPr>
              <w:t>Hermanos estud</w:t>
            </w:r>
            <w:r>
              <w:rPr>
                <w:rFonts w:ascii="Times New Roman" w:hAnsi="Times New Roman"/>
                <w:sz w:val="20"/>
                <w:szCs w:val="20"/>
                <w:lang w:val="es-PR"/>
              </w:rPr>
              <w:t>iados</w:t>
            </w:r>
          </w:p>
        </w:tc>
        <w:tc>
          <w:tcPr>
            <w:tcW w:w="3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19</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13,5</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35</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24,8</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29</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20,6</w:t>
            </w:r>
          </w:p>
        </w:tc>
        <w:tc>
          <w:tcPr>
            <w:tcW w:w="4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58</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41,1</w:t>
            </w:r>
          </w:p>
        </w:tc>
      </w:tr>
      <w:tr w:rsidR="00E6475B" w:rsidRPr="00BE273F" w:rsidTr="005665FF">
        <w:trPr>
          <w:trHeight w:val="300"/>
        </w:trPr>
        <w:tc>
          <w:tcPr>
            <w:tcW w:w="1978" w:type="dxa"/>
            <w:tcBorders>
              <w:top w:val="nil"/>
              <w:left w:val="nil"/>
              <w:bottom w:val="single" w:sz="4" w:space="0" w:color="auto"/>
              <w:right w:val="nil"/>
            </w:tcBorders>
            <w:shd w:val="clear" w:color="auto" w:fill="auto"/>
            <w:noWrap/>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lang w:val="es-PR"/>
              </w:rPr>
              <w:t>Hermanos (+)</w:t>
            </w:r>
          </w:p>
        </w:tc>
        <w:tc>
          <w:tcPr>
            <w:tcW w:w="3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7</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36,8</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6</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17,1</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7</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24,1</w:t>
            </w:r>
          </w:p>
        </w:tc>
        <w:tc>
          <w:tcPr>
            <w:tcW w:w="4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14</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24,1</w:t>
            </w:r>
          </w:p>
        </w:tc>
      </w:tr>
      <w:tr w:rsidR="00E6475B" w:rsidRPr="00BE273F" w:rsidTr="005665FF">
        <w:trPr>
          <w:trHeight w:val="300"/>
        </w:trPr>
        <w:tc>
          <w:tcPr>
            <w:tcW w:w="1978" w:type="dxa"/>
            <w:tcBorders>
              <w:top w:val="nil"/>
              <w:left w:val="nil"/>
              <w:bottom w:val="single" w:sz="4" w:space="0" w:color="auto"/>
              <w:right w:val="nil"/>
            </w:tcBorders>
            <w:shd w:val="clear" w:color="auto" w:fill="auto"/>
            <w:noWrap/>
            <w:hideMark/>
          </w:tcPr>
          <w:p w:rsidR="00E6475B" w:rsidRPr="00BE273F" w:rsidRDefault="00E6475B" w:rsidP="005665FF">
            <w:pPr>
              <w:spacing w:after="0" w:line="240" w:lineRule="auto"/>
              <w:jc w:val="center"/>
              <w:rPr>
                <w:rFonts w:ascii="Times New Roman" w:hAnsi="Times New Roman"/>
                <w:sz w:val="20"/>
                <w:szCs w:val="20"/>
              </w:rPr>
            </w:pPr>
            <w:r>
              <w:rPr>
                <w:rFonts w:ascii="Times New Roman" w:hAnsi="Times New Roman"/>
                <w:sz w:val="20"/>
                <w:szCs w:val="20"/>
                <w:lang w:val="es-PR"/>
              </w:rPr>
              <w:t>(*)</w:t>
            </w:r>
            <w:r w:rsidRPr="00BE273F">
              <w:rPr>
                <w:rFonts w:ascii="Times New Roman" w:hAnsi="Times New Roman"/>
                <w:sz w:val="20"/>
                <w:szCs w:val="20"/>
                <w:lang w:val="es-PR"/>
              </w:rPr>
              <w:t>Total estudiados</w:t>
            </w:r>
          </w:p>
        </w:tc>
        <w:tc>
          <w:tcPr>
            <w:tcW w:w="3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72</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 </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8086</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 </w:t>
            </w:r>
          </w:p>
        </w:tc>
        <w:tc>
          <w:tcPr>
            <w:tcW w:w="5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6841</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 </w:t>
            </w:r>
          </w:p>
        </w:tc>
        <w:tc>
          <w:tcPr>
            <w:tcW w:w="44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435</w:t>
            </w:r>
          </w:p>
        </w:tc>
        <w:tc>
          <w:tcPr>
            <w:tcW w:w="490" w:type="dxa"/>
            <w:tcBorders>
              <w:top w:val="nil"/>
              <w:left w:val="nil"/>
              <w:bottom w:val="single" w:sz="4" w:space="0" w:color="auto"/>
              <w:right w:val="nil"/>
            </w:tcBorders>
            <w:shd w:val="clear" w:color="auto" w:fill="auto"/>
            <w:noWrap/>
            <w:vAlign w:val="bottom"/>
            <w:hideMark/>
          </w:tcPr>
          <w:p w:rsidR="00E6475B" w:rsidRPr="00BE273F" w:rsidRDefault="00E6475B" w:rsidP="005665FF">
            <w:pPr>
              <w:spacing w:after="0" w:line="240" w:lineRule="auto"/>
              <w:jc w:val="center"/>
              <w:rPr>
                <w:rFonts w:ascii="Times New Roman" w:hAnsi="Times New Roman"/>
                <w:sz w:val="20"/>
                <w:szCs w:val="20"/>
              </w:rPr>
            </w:pPr>
            <w:r w:rsidRPr="00BE273F">
              <w:rPr>
                <w:rFonts w:ascii="Times New Roman" w:hAnsi="Times New Roman"/>
                <w:sz w:val="20"/>
                <w:szCs w:val="20"/>
              </w:rPr>
              <w:t> </w:t>
            </w:r>
          </w:p>
        </w:tc>
      </w:tr>
    </w:tbl>
    <w:p w:rsidR="00E6475B" w:rsidRPr="0018652B" w:rsidRDefault="00E6475B" w:rsidP="00E6475B">
      <w:pPr>
        <w:spacing w:line="240" w:lineRule="auto"/>
        <w:contextualSpacing/>
        <w:jc w:val="both"/>
        <w:rPr>
          <w:rFonts w:ascii="Times New Roman" w:hAnsi="Times New Roman"/>
          <w:sz w:val="20"/>
          <w:szCs w:val="20"/>
        </w:rPr>
      </w:pPr>
      <w:r w:rsidRPr="00B347F9">
        <w:rPr>
          <w:rFonts w:ascii="Times New Roman" w:hAnsi="Times New Roman"/>
          <w:sz w:val="20"/>
          <w:szCs w:val="20"/>
        </w:rPr>
        <w:t xml:space="preserve">(*)No se incluyen en </w:t>
      </w:r>
      <w:r>
        <w:rPr>
          <w:rFonts w:ascii="Times New Roman" w:hAnsi="Times New Roman"/>
          <w:sz w:val="20"/>
          <w:szCs w:val="20"/>
        </w:rPr>
        <w:t>el total de e</w:t>
      </w:r>
      <w:r w:rsidRPr="00B347F9">
        <w:rPr>
          <w:rFonts w:ascii="Times New Roman" w:hAnsi="Times New Roman"/>
          <w:sz w:val="20"/>
          <w:szCs w:val="20"/>
        </w:rPr>
        <w:t>studiados los hermanos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505C91">
        <w:rPr>
          <w:rFonts w:ascii="Times New Roman" w:hAnsi="Times New Roman"/>
          <w:sz w:val="24"/>
          <w:szCs w:val="24"/>
        </w:rPr>
        <w:t>Se trataron 93 niños</w:t>
      </w:r>
      <w:r>
        <w:rPr>
          <w:rFonts w:ascii="Times New Roman" w:hAnsi="Times New Roman"/>
          <w:sz w:val="24"/>
          <w:szCs w:val="24"/>
        </w:rPr>
        <w:t>, (58.49%)</w:t>
      </w:r>
      <w:r w:rsidRPr="00505C91">
        <w:rPr>
          <w:rFonts w:ascii="Times New Roman" w:hAnsi="Times New Roman"/>
          <w:sz w:val="24"/>
          <w:szCs w:val="24"/>
        </w:rPr>
        <w:t>; 5 no completaron el tratamiento.</w:t>
      </w:r>
      <w:r>
        <w:rPr>
          <w:rFonts w:ascii="Times New Roman" w:hAnsi="Times New Roman"/>
          <w:sz w:val="24"/>
          <w:szCs w:val="24"/>
        </w:rPr>
        <w:t xml:space="preserve"> Los efectos adversos más frecuentes fueron </w:t>
      </w:r>
      <w:proofErr w:type="spellStart"/>
      <w:r>
        <w:rPr>
          <w:rFonts w:ascii="Times New Roman" w:hAnsi="Times New Roman"/>
          <w:sz w:val="24"/>
          <w:szCs w:val="24"/>
        </w:rPr>
        <w:t>rash</w:t>
      </w:r>
      <w:proofErr w:type="spellEnd"/>
      <w:r>
        <w:rPr>
          <w:rFonts w:ascii="Times New Roman" w:hAnsi="Times New Roman"/>
          <w:sz w:val="24"/>
          <w:szCs w:val="24"/>
        </w:rPr>
        <w:t xml:space="preserve"> dérmico (n=7), dolor abdominal(n=3), cefaleas(n=3).      </w:t>
      </w:r>
      <w:r w:rsidRPr="0018652B">
        <w:rPr>
          <w:rFonts w:ascii="Times New Roman" w:hAnsi="Times New Roman"/>
          <w:b/>
          <w:sz w:val="24"/>
          <w:szCs w:val="24"/>
        </w:rPr>
        <w:t>DISCUSIÓN</w:t>
      </w:r>
      <w:r w:rsidRPr="0018652B">
        <w:rPr>
          <w:rFonts w:ascii="Times New Roman" w:hAnsi="Times New Roman"/>
          <w:sz w:val="24"/>
          <w:szCs w:val="24"/>
        </w:rPr>
        <w:t xml:space="preserve">: Fue previsible detectar una mayor prevalencia de infección </w:t>
      </w:r>
      <w:proofErr w:type="spellStart"/>
      <w:r w:rsidRPr="0018652B">
        <w:rPr>
          <w:rFonts w:ascii="Times New Roman" w:hAnsi="Times New Roman"/>
          <w:sz w:val="24"/>
          <w:szCs w:val="24"/>
        </w:rPr>
        <w:t>chagásica</w:t>
      </w:r>
      <w:proofErr w:type="spellEnd"/>
      <w:r w:rsidRPr="0018652B">
        <w:rPr>
          <w:rFonts w:ascii="Times New Roman" w:hAnsi="Times New Roman"/>
          <w:sz w:val="24"/>
          <w:szCs w:val="24"/>
        </w:rPr>
        <w:t xml:space="preserve"> en áreas rurales como San Carlos, La Unión y Taco Pozo comparadas con Salta capital. Se destaca la alta prevalencia de infección en los hermanos de los niños reactivos de Salta, lo que destaca la importancia del necesario relevamiento epidemiológico familiar en cada caso detectado de los niños escolares. La faz más dificultosa del estudio fue el tratamiento y seguimiento de los niños reactivos </w:t>
      </w:r>
      <w:proofErr w:type="spellStart"/>
      <w:r w:rsidRPr="0018652B">
        <w:rPr>
          <w:rFonts w:ascii="Times New Roman" w:hAnsi="Times New Roman"/>
          <w:sz w:val="24"/>
          <w:szCs w:val="24"/>
        </w:rPr>
        <w:t>intratratamiento</w:t>
      </w:r>
      <w:proofErr w:type="spellEnd"/>
      <w:r w:rsidRPr="0018652B">
        <w:rPr>
          <w:rFonts w:ascii="Times New Roman" w:hAnsi="Times New Roman"/>
          <w:sz w:val="24"/>
          <w:szCs w:val="24"/>
        </w:rPr>
        <w:t xml:space="preserve"> y posterior al mismo.</w:t>
      </w:r>
      <w:r w:rsidRPr="0018652B">
        <w:rPr>
          <w:rFonts w:ascii="Times New Roman" w:hAnsi="Times New Roman"/>
          <w:sz w:val="24"/>
          <w:szCs w:val="24"/>
        </w:rPr>
        <w:tab/>
      </w:r>
      <w:r w:rsidRPr="0018652B">
        <w:rPr>
          <w:rFonts w:ascii="Times New Roman" w:hAnsi="Times New Roman"/>
          <w:sz w:val="24"/>
          <w:szCs w:val="24"/>
        </w:rPr>
        <w:tab/>
        <w:t xml:space="preserve"> </w:t>
      </w:r>
      <w:r w:rsidRPr="0018652B">
        <w:rPr>
          <w:rFonts w:ascii="Times New Roman" w:hAnsi="Times New Roman"/>
          <w:sz w:val="20"/>
          <w:szCs w:val="20"/>
        </w:rPr>
        <w:t>BIBLIOGRAFÍA:</w:t>
      </w:r>
    </w:p>
    <w:p w:rsidR="00E6475B" w:rsidRDefault="00E6475B" w:rsidP="00E6475B">
      <w:pPr>
        <w:spacing w:line="240" w:lineRule="auto"/>
        <w:contextualSpacing/>
        <w:jc w:val="both"/>
        <w:rPr>
          <w:rFonts w:ascii="Times New Roman" w:hAnsi="Times New Roman"/>
          <w:sz w:val="20"/>
          <w:szCs w:val="20"/>
          <w:lang w:val="es-ES"/>
        </w:rPr>
      </w:pPr>
      <w:r w:rsidRPr="0018652B">
        <w:rPr>
          <w:rFonts w:ascii="Times New Roman" w:hAnsi="Times New Roman"/>
          <w:sz w:val="20"/>
          <w:szCs w:val="20"/>
        </w:rPr>
        <w:t>1</w:t>
      </w:r>
      <w:r w:rsidRPr="0018652B">
        <w:rPr>
          <w:rFonts w:ascii="Times New Roman" w:hAnsi="Times New Roman"/>
          <w:sz w:val="20"/>
          <w:szCs w:val="20"/>
          <w:lang w:val="en-US"/>
        </w:rPr>
        <w:t xml:space="preserve"> </w:t>
      </w:r>
      <w:proofErr w:type="spellStart"/>
      <w:r w:rsidRPr="0018652B">
        <w:rPr>
          <w:rFonts w:ascii="Times New Roman" w:hAnsi="Times New Roman"/>
          <w:sz w:val="20"/>
          <w:szCs w:val="20"/>
          <w:lang w:val="en-US"/>
        </w:rPr>
        <w:t>Freilij</w:t>
      </w:r>
      <w:proofErr w:type="spellEnd"/>
      <w:r w:rsidRPr="0018652B">
        <w:rPr>
          <w:rFonts w:ascii="Times New Roman" w:hAnsi="Times New Roman"/>
          <w:sz w:val="20"/>
          <w:szCs w:val="20"/>
          <w:lang w:val="en-US"/>
        </w:rPr>
        <w:t xml:space="preserve"> H, </w:t>
      </w:r>
      <w:proofErr w:type="spellStart"/>
      <w:r w:rsidRPr="0018652B">
        <w:rPr>
          <w:rFonts w:ascii="Times New Roman" w:hAnsi="Times New Roman"/>
          <w:sz w:val="20"/>
          <w:szCs w:val="20"/>
          <w:lang w:val="en-US"/>
        </w:rPr>
        <w:t>Altchech</w:t>
      </w:r>
      <w:proofErr w:type="spellEnd"/>
      <w:r w:rsidRPr="0018652B">
        <w:rPr>
          <w:rFonts w:ascii="Times New Roman" w:hAnsi="Times New Roman"/>
          <w:sz w:val="20"/>
          <w:szCs w:val="20"/>
          <w:lang w:val="en-US"/>
        </w:rPr>
        <w:t xml:space="preserve"> J. Congenital </w:t>
      </w:r>
      <w:proofErr w:type="spellStart"/>
      <w:r w:rsidRPr="0018652B">
        <w:rPr>
          <w:rFonts w:ascii="Times New Roman" w:hAnsi="Times New Roman"/>
          <w:sz w:val="20"/>
          <w:szCs w:val="20"/>
          <w:lang w:val="en-US"/>
        </w:rPr>
        <w:t>Chagas</w:t>
      </w:r>
      <w:proofErr w:type="spellEnd"/>
      <w:r w:rsidRPr="0018652B">
        <w:rPr>
          <w:rFonts w:ascii="Times New Roman" w:hAnsi="Times New Roman"/>
          <w:sz w:val="20"/>
          <w:szCs w:val="20"/>
          <w:lang w:val="en-US"/>
        </w:rPr>
        <w:t xml:space="preserve"> disease’ diagnostic and clinical aspects. </w:t>
      </w:r>
      <w:proofErr w:type="spellStart"/>
      <w:r w:rsidRPr="0018652B">
        <w:rPr>
          <w:rFonts w:ascii="Times New Roman" w:hAnsi="Times New Roman"/>
          <w:sz w:val="20"/>
          <w:szCs w:val="20"/>
          <w:lang w:val="es-ES"/>
        </w:rPr>
        <w:t>Clin</w:t>
      </w:r>
      <w:proofErr w:type="spellEnd"/>
      <w:r w:rsidRPr="0018652B">
        <w:rPr>
          <w:rFonts w:ascii="Times New Roman" w:hAnsi="Times New Roman"/>
          <w:sz w:val="20"/>
          <w:szCs w:val="20"/>
          <w:lang w:val="es-ES"/>
        </w:rPr>
        <w:t xml:space="preserve"> </w:t>
      </w:r>
      <w:proofErr w:type="spellStart"/>
      <w:r w:rsidRPr="0018652B">
        <w:rPr>
          <w:rFonts w:ascii="Times New Roman" w:hAnsi="Times New Roman"/>
          <w:sz w:val="20"/>
          <w:szCs w:val="20"/>
          <w:lang w:val="es-ES"/>
        </w:rPr>
        <w:t>Infect</w:t>
      </w:r>
      <w:proofErr w:type="spellEnd"/>
      <w:r w:rsidRPr="0018652B">
        <w:rPr>
          <w:rFonts w:ascii="Times New Roman" w:hAnsi="Times New Roman"/>
          <w:sz w:val="20"/>
          <w:szCs w:val="20"/>
          <w:lang w:val="es-ES"/>
        </w:rPr>
        <w:t xml:space="preserve"> </w:t>
      </w:r>
      <w:proofErr w:type="spellStart"/>
      <w:r w:rsidRPr="0018652B">
        <w:rPr>
          <w:rFonts w:ascii="Times New Roman" w:hAnsi="Times New Roman"/>
          <w:sz w:val="20"/>
          <w:szCs w:val="20"/>
          <w:lang w:val="es-ES"/>
        </w:rPr>
        <w:t>Dis</w:t>
      </w:r>
      <w:proofErr w:type="spellEnd"/>
      <w:r w:rsidRPr="0018652B">
        <w:rPr>
          <w:rFonts w:ascii="Times New Roman" w:hAnsi="Times New Roman"/>
          <w:sz w:val="20"/>
          <w:szCs w:val="20"/>
          <w:lang w:val="es-ES"/>
        </w:rPr>
        <w:t xml:space="preserve"> 1995; 21: 551-555;</w:t>
      </w:r>
    </w:p>
    <w:p w:rsidR="00231B02" w:rsidRPr="0018652B" w:rsidRDefault="00231B02" w:rsidP="00231B02">
      <w:pPr>
        <w:spacing w:line="240" w:lineRule="auto"/>
        <w:contextualSpacing/>
        <w:jc w:val="both"/>
        <w:rPr>
          <w:rFonts w:ascii="Times New Roman" w:hAnsi="Times New Roman"/>
          <w:sz w:val="20"/>
          <w:szCs w:val="20"/>
          <w:lang w:val="en-US"/>
        </w:rPr>
      </w:pPr>
      <w:r>
        <w:rPr>
          <w:rFonts w:ascii="Times New Roman" w:hAnsi="Times New Roman"/>
          <w:sz w:val="20"/>
          <w:szCs w:val="20"/>
          <w:lang w:val="es-ES"/>
        </w:rPr>
        <w:t xml:space="preserve">2. </w:t>
      </w:r>
      <w:proofErr w:type="spellStart"/>
      <w:r w:rsidRPr="0018652B">
        <w:rPr>
          <w:rFonts w:ascii="Times New Roman" w:hAnsi="Times New Roman"/>
          <w:sz w:val="20"/>
          <w:szCs w:val="20"/>
          <w:lang w:val="en-US"/>
        </w:rPr>
        <w:t>Schmunis</w:t>
      </w:r>
      <w:proofErr w:type="spellEnd"/>
      <w:r w:rsidRPr="0018652B">
        <w:rPr>
          <w:rFonts w:ascii="Times New Roman" w:hAnsi="Times New Roman"/>
          <w:sz w:val="20"/>
          <w:szCs w:val="20"/>
          <w:lang w:val="en-US"/>
        </w:rPr>
        <w:t xml:space="preserve"> Gabriel A. Epidemiology of </w:t>
      </w:r>
      <w:proofErr w:type="spellStart"/>
      <w:r w:rsidRPr="0018652B">
        <w:rPr>
          <w:rFonts w:ascii="Times New Roman" w:hAnsi="Times New Roman"/>
          <w:sz w:val="20"/>
          <w:szCs w:val="20"/>
          <w:lang w:val="en-US"/>
        </w:rPr>
        <w:t>Chagas</w:t>
      </w:r>
      <w:proofErr w:type="spellEnd"/>
      <w:r w:rsidRPr="0018652B">
        <w:rPr>
          <w:rFonts w:ascii="Times New Roman" w:hAnsi="Times New Roman"/>
          <w:sz w:val="20"/>
          <w:szCs w:val="20"/>
          <w:lang w:val="en-US"/>
        </w:rPr>
        <w:t xml:space="preserve"> disease in non-endemic countries: the role of international migration. </w:t>
      </w:r>
      <w:proofErr w:type="spellStart"/>
      <w:proofErr w:type="gramStart"/>
      <w:r w:rsidRPr="0018652B">
        <w:rPr>
          <w:rFonts w:ascii="Times New Roman" w:hAnsi="Times New Roman"/>
          <w:sz w:val="20"/>
          <w:szCs w:val="20"/>
          <w:lang w:val="en-US"/>
        </w:rPr>
        <w:t>Mem</w:t>
      </w:r>
      <w:proofErr w:type="spellEnd"/>
      <w:r w:rsidRPr="0018652B">
        <w:rPr>
          <w:rFonts w:ascii="Times New Roman" w:hAnsi="Times New Roman"/>
          <w:sz w:val="20"/>
          <w:szCs w:val="20"/>
          <w:lang w:val="en-US"/>
        </w:rPr>
        <w:t xml:space="preserve"> </w:t>
      </w:r>
      <w:proofErr w:type="spellStart"/>
      <w:r w:rsidRPr="0018652B">
        <w:rPr>
          <w:rFonts w:ascii="Times New Roman" w:hAnsi="Times New Roman"/>
          <w:sz w:val="20"/>
          <w:szCs w:val="20"/>
          <w:lang w:val="en-US"/>
        </w:rPr>
        <w:t>Inst</w:t>
      </w:r>
      <w:proofErr w:type="spellEnd"/>
      <w:r w:rsidRPr="0018652B">
        <w:rPr>
          <w:rFonts w:ascii="Times New Roman" w:hAnsi="Times New Roman"/>
          <w:sz w:val="20"/>
          <w:szCs w:val="20"/>
          <w:lang w:val="en-US"/>
        </w:rPr>
        <w:t xml:space="preserve"> </w:t>
      </w:r>
      <w:proofErr w:type="spellStart"/>
      <w:r w:rsidRPr="0018652B">
        <w:rPr>
          <w:rFonts w:ascii="Times New Roman" w:hAnsi="Times New Roman"/>
          <w:sz w:val="20"/>
          <w:szCs w:val="20"/>
          <w:lang w:val="en-US"/>
        </w:rPr>
        <w:t>Oswaldo</w:t>
      </w:r>
      <w:proofErr w:type="spellEnd"/>
      <w:r w:rsidRPr="0018652B">
        <w:rPr>
          <w:rFonts w:ascii="Times New Roman" w:hAnsi="Times New Roman"/>
          <w:sz w:val="20"/>
          <w:szCs w:val="20"/>
          <w:lang w:val="en-US"/>
        </w:rPr>
        <w:t xml:space="preserve"> Cruz, Río de Janeiro, Vol. 102 (Suppl.</w:t>
      </w:r>
      <w:proofErr w:type="gramEnd"/>
      <w:r w:rsidRPr="0018652B">
        <w:rPr>
          <w:rFonts w:ascii="Times New Roman" w:hAnsi="Times New Roman"/>
          <w:sz w:val="20"/>
          <w:szCs w:val="20"/>
          <w:lang w:val="en-US"/>
        </w:rPr>
        <w:t xml:space="preserve"> I): 75-85, 2007; </w:t>
      </w:r>
    </w:p>
    <w:p w:rsidR="00231B02" w:rsidRPr="0018652B" w:rsidRDefault="00231B02" w:rsidP="00E6475B">
      <w:pPr>
        <w:spacing w:line="240" w:lineRule="auto"/>
        <w:contextualSpacing/>
        <w:jc w:val="both"/>
        <w:rPr>
          <w:sz w:val="20"/>
          <w:szCs w:val="20"/>
        </w:rPr>
      </w:pPr>
      <w:bookmarkStart w:id="0" w:name="_GoBack"/>
      <w:bookmarkEnd w:id="0"/>
    </w:p>
    <w:p w:rsidR="002D3CAF" w:rsidRDefault="002D3CAF"/>
    <w:sectPr w:rsidR="002D3CAF" w:rsidSect="008F4E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5B"/>
    <w:rsid w:val="00231B02"/>
    <w:rsid w:val="002D3CAF"/>
    <w:rsid w:val="00E647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75B"/>
    <w:rPr>
      <w:rFonts w:ascii="Calibri" w:eastAsia="Times New Roman" w:hAnsi="Calibri"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75B"/>
    <w:rPr>
      <w:rFonts w:ascii="Calibri" w:eastAsia="Times New Roman" w:hAnsi="Calibri"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717</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2014-05-11T02:37:00Z</dcterms:created>
  <dcterms:modified xsi:type="dcterms:W3CDTF">2014-05-13T12:22:00Z</dcterms:modified>
</cp:coreProperties>
</file>