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958" w:rsidRDefault="00F62958" w:rsidP="00F5740D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Disposición plasmática y eficacia comparativa de ivermectina y doramectina frente a </w:t>
      </w:r>
      <w:r w:rsidRPr="00CE5E9A">
        <w:rPr>
          <w:rFonts w:ascii="Times New Roman" w:hAnsi="Times New Roman" w:cs="Times New Roman"/>
          <w:i/>
          <w:iCs/>
          <w:sz w:val="28"/>
          <w:szCs w:val="28"/>
        </w:rPr>
        <w:t>Triatoma infestans</w:t>
      </w:r>
      <w:r>
        <w:rPr>
          <w:rFonts w:ascii="Times New Roman" w:hAnsi="Times New Roman" w:cs="Times New Roman"/>
          <w:sz w:val="28"/>
          <w:szCs w:val="28"/>
        </w:rPr>
        <w:t xml:space="preserve"> en un modelo aviar. </w:t>
      </w:r>
    </w:p>
    <w:p w:rsidR="00F62958" w:rsidRPr="00BC689E" w:rsidRDefault="00F62958" w:rsidP="00F574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C689E">
        <w:rPr>
          <w:rFonts w:ascii="Times New Roman" w:hAnsi="Times New Roman" w:cs="Times New Roman"/>
          <w:sz w:val="24"/>
          <w:szCs w:val="24"/>
          <w:lang w:val="en-US"/>
        </w:rPr>
        <w:t xml:space="preserve">Comparative plasma dispositions and efficacy of ivermectin and doramectin against </w:t>
      </w:r>
      <w:r w:rsidRPr="00BC689E">
        <w:rPr>
          <w:rFonts w:ascii="Times New Roman" w:hAnsi="Times New Roman" w:cs="Times New Roman"/>
          <w:i/>
          <w:iCs/>
          <w:sz w:val="24"/>
          <w:szCs w:val="24"/>
          <w:lang w:val="en-US"/>
        </w:rPr>
        <w:t>Triatoma infestans</w:t>
      </w:r>
      <w:r w:rsidRPr="00BC689E">
        <w:rPr>
          <w:rFonts w:ascii="Times New Roman" w:hAnsi="Times New Roman" w:cs="Times New Roman"/>
          <w:sz w:val="24"/>
          <w:szCs w:val="24"/>
          <w:lang w:val="en-US"/>
        </w:rPr>
        <w:t xml:space="preserve"> in avian model</w:t>
      </w:r>
    </w:p>
    <w:p w:rsidR="00F62958" w:rsidRPr="0019429F" w:rsidRDefault="00F62958" w:rsidP="00023C81">
      <w:pPr>
        <w:spacing w:after="0" w:line="240" w:lineRule="auto"/>
        <w:jc w:val="center"/>
        <w:rPr>
          <w:rFonts w:ascii="Arial" w:hAnsi="Arial" w:cs="Arial"/>
          <w:color w:val="000000"/>
          <w:vertAlign w:val="superscript"/>
        </w:rPr>
      </w:pPr>
      <w:r w:rsidRPr="0019429F">
        <w:rPr>
          <w:rFonts w:ascii="Times New Roman" w:hAnsi="Times New Roman" w:cs="Times New Roman"/>
          <w:sz w:val="20"/>
          <w:szCs w:val="20"/>
          <w:u w:val="single"/>
        </w:rPr>
        <w:t>Martin Dadé</w:t>
      </w:r>
      <w:r w:rsidRPr="0019429F">
        <w:rPr>
          <w:rFonts w:ascii="Times New Roman" w:hAnsi="Times New Roman" w:cs="Times New Roman"/>
          <w:sz w:val="20"/>
          <w:szCs w:val="20"/>
          <w:vertAlign w:val="superscript"/>
        </w:rPr>
        <w:t>1,2</w:t>
      </w:r>
      <w:r w:rsidRPr="0019429F">
        <w:rPr>
          <w:rFonts w:ascii="Times New Roman" w:hAnsi="Times New Roman" w:cs="Times New Roman"/>
          <w:sz w:val="20"/>
          <w:szCs w:val="20"/>
        </w:rPr>
        <w:t xml:space="preserve"> ,Martin Daniele</w:t>
      </w:r>
      <w:r w:rsidRPr="0019429F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19429F">
        <w:rPr>
          <w:rFonts w:ascii="Times New Roman" w:hAnsi="Times New Roman" w:cs="Times New Roman"/>
          <w:sz w:val="20"/>
          <w:szCs w:val="20"/>
        </w:rPr>
        <w:t>, Pía  Silvestrini</w:t>
      </w:r>
      <w:r w:rsidRPr="0019429F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19429F">
        <w:rPr>
          <w:rFonts w:ascii="Times New Roman" w:hAnsi="Times New Roman" w:cs="Times New Roman"/>
          <w:sz w:val="20"/>
          <w:szCs w:val="20"/>
        </w:rPr>
        <w:t>, Nora Mestorino</w:t>
      </w:r>
      <w:r w:rsidRPr="0019429F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F62958" w:rsidRPr="0019429F" w:rsidRDefault="00F62958" w:rsidP="006D3FE1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F62958" w:rsidRPr="0019429F" w:rsidRDefault="00F62958" w:rsidP="006D3FE1">
      <w:pPr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6D3FE1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6D3FE1">
        <w:rPr>
          <w:rFonts w:ascii="Times New Roman" w:hAnsi="Times New Roman" w:cs="Times New Roman"/>
          <w:sz w:val="20"/>
          <w:szCs w:val="20"/>
        </w:rPr>
        <w:t xml:space="preserve">Cátedra de Farmacología Básica (General y Farmacodinamia), Facultad de Ciencias Médicas. </w:t>
      </w:r>
      <w:r w:rsidRPr="0019429F">
        <w:rPr>
          <w:rFonts w:ascii="Times New Roman" w:hAnsi="Times New Roman" w:cs="Times New Roman"/>
          <w:sz w:val="20"/>
          <w:szCs w:val="20"/>
        </w:rPr>
        <w:t xml:space="preserve">UNLP. 60 y 120 s/n, 1900, La Plata, Buenos Aires, Argentina. </w:t>
      </w:r>
      <w:hyperlink r:id="rId5" w:history="1">
        <w:r w:rsidRPr="0019429F">
          <w:rPr>
            <w:rFonts w:ascii="Times New Roman" w:hAnsi="Times New Roman" w:cs="Times New Roman"/>
            <w:sz w:val="20"/>
            <w:szCs w:val="20"/>
          </w:rPr>
          <w:t>mdade@med.unlp.edu.ar</w:t>
        </w:r>
      </w:hyperlink>
    </w:p>
    <w:p w:rsidR="00F62958" w:rsidRPr="0019429F" w:rsidRDefault="00F62958" w:rsidP="006D3FE1">
      <w:pPr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6D3FE1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6D3FE1">
        <w:rPr>
          <w:rFonts w:ascii="Times New Roman" w:hAnsi="Times New Roman" w:cs="Times New Roman"/>
          <w:sz w:val="20"/>
          <w:szCs w:val="20"/>
        </w:rPr>
        <w:t xml:space="preserve"> Laboratorio de Estudios Farmacológicos y Toxicológicos (LEFyT) Facultad de Ciencias Veterinarias, UNLP. 60 y 118 s/n, 1900, La Plata, Buenos Aires, Argentina. </w:t>
      </w:r>
      <w:hyperlink r:id="rId6" w:history="1">
        <w:r w:rsidRPr="0019429F">
          <w:rPr>
            <w:rFonts w:ascii="Times New Roman" w:hAnsi="Times New Roman" w:cs="Times New Roman"/>
            <w:sz w:val="20"/>
            <w:szCs w:val="20"/>
          </w:rPr>
          <w:t>noram@fcv.unlp.edu.ar</w:t>
        </w:r>
      </w:hyperlink>
    </w:p>
    <w:p w:rsidR="00F62958" w:rsidRDefault="00F62958" w:rsidP="006D3FE1">
      <w:pPr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6D3FE1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6D3FE1">
        <w:rPr>
          <w:rFonts w:ascii="Times New Roman" w:hAnsi="Times New Roman" w:cs="Times New Roman"/>
          <w:sz w:val="20"/>
          <w:szCs w:val="20"/>
        </w:rPr>
        <w:t xml:space="preserve"> Bioestadística, Facultad de Ciencias Veterinarias, UNLP. 60 y 118 s/n, 1900, La Plata, Buenos Aires, Argentina.</w:t>
      </w:r>
    </w:p>
    <w:p w:rsidR="00F62958" w:rsidRDefault="00F62958" w:rsidP="006D3FE1">
      <w:pPr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F62958" w:rsidRDefault="00F62958" w:rsidP="00BC6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452">
        <w:rPr>
          <w:rFonts w:ascii="Times New Roman" w:hAnsi="Times New Roman" w:cs="Times New Roman"/>
          <w:b/>
          <w:bCs/>
          <w:sz w:val="24"/>
          <w:szCs w:val="24"/>
        </w:rPr>
        <w:t>INTRODUCCI</w:t>
      </w:r>
      <w:r>
        <w:rPr>
          <w:rFonts w:ascii="Times New Roman" w:hAnsi="Times New Roman" w:cs="Times New Roman"/>
          <w:b/>
          <w:bCs/>
          <w:sz w:val="24"/>
          <w:szCs w:val="24"/>
        </w:rPr>
        <w:t>Ó</w:t>
      </w:r>
      <w:r w:rsidRPr="008E5452"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E4095">
        <w:rPr>
          <w:rFonts w:ascii="Times New Roman" w:hAnsi="Times New Roman" w:cs="Times New Roman"/>
          <w:sz w:val="24"/>
          <w:szCs w:val="24"/>
        </w:rPr>
        <w:t>de acuerdo a los lineamientos 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000A68">
        <w:rPr>
          <w:rFonts w:ascii="Times New Roman" w:hAnsi="Times New Roman" w:cs="Times New Roman"/>
          <w:sz w:val="24"/>
          <w:szCs w:val="24"/>
        </w:rPr>
        <w:t>a Iniciativa del Cono Sur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000A68">
        <w:rPr>
          <w:rFonts w:ascii="Times New Roman" w:hAnsi="Times New Roman" w:cs="Times New Roman"/>
          <w:sz w:val="24"/>
          <w:szCs w:val="24"/>
        </w:rPr>
        <w:t xml:space="preserve"> (1991)</w:t>
      </w:r>
      <w:r>
        <w:rPr>
          <w:rFonts w:ascii="Times New Roman" w:hAnsi="Times New Roman" w:cs="Times New Roman"/>
          <w:sz w:val="24"/>
          <w:szCs w:val="24"/>
        </w:rPr>
        <w:t xml:space="preserve">, tenemos </w:t>
      </w:r>
      <w:r w:rsidRPr="00000A68">
        <w:rPr>
          <w:rFonts w:ascii="Times New Roman" w:hAnsi="Times New Roman" w:cs="Times New Roman"/>
          <w:sz w:val="24"/>
          <w:szCs w:val="24"/>
        </w:rPr>
        <w:t>dos objetivos principales</w:t>
      </w:r>
      <w:r>
        <w:rPr>
          <w:rFonts w:ascii="Times New Roman" w:hAnsi="Times New Roman" w:cs="Times New Roman"/>
          <w:sz w:val="24"/>
          <w:szCs w:val="24"/>
        </w:rPr>
        <w:t xml:space="preserve"> para el control del Mal de Chagas</w:t>
      </w:r>
      <w:r w:rsidRPr="00000A68">
        <w:rPr>
          <w:rFonts w:ascii="Times New Roman" w:hAnsi="Times New Roman" w:cs="Times New Roman"/>
          <w:sz w:val="24"/>
          <w:szCs w:val="24"/>
        </w:rPr>
        <w:t>: eliminar al principal vector de la enfermedad (</w:t>
      </w:r>
      <w:r w:rsidRPr="00000A68">
        <w:rPr>
          <w:rFonts w:ascii="Times New Roman" w:hAnsi="Times New Roman" w:cs="Times New Roman"/>
          <w:i/>
          <w:iCs/>
          <w:sz w:val="24"/>
          <w:szCs w:val="24"/>
        </w:rPr>
        <w:t>Triatoma infestans</w:t>
      </w:r>
      <w:r w:rsidRPr="00000A68">
        <w:rPr>
          <w:rFonts w:ascii="Times New Roman" w:hAnsi="Times New Roman" w:cs="Times New Roman"/>
          <w:sz w:val="24"/>
          <w:szCs w:val="24"/>
        </w:rPr>
        <w:t xml:space="preserve">) e interrumpir la transmisión de </w:t>
      </w:r>
      <w:r w:rsidRPr="00000A68">
        <w:rPr>
          <w:rFonts w:ascii="Times New Roman" w:hAnsi="Times New Roman" w:cs="Times New Roman"/>
          <w:i/>
          <w:iCs/>
          <w:sz w:val="24"/>
          <w:szCs w:val="24"/>
        </w:rPr>
        <w:t>Trypanosoma cruzi</w:t>
      </w:r>
      <w:r w:rsidRPr="00000A68">
        <w:rPr>
          <w:rFonts w:ascii="Times New Roman" w:hAnsi="Times New Roman" w:cs="Times New Roman"/>
          <w:sz w:val="24"/>
          <w:szCs w:val="24"/>
        </w:rPr>
        <w:t xml:space="preserve"> por transfusión sanguínea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A68">
        <w:rPr>
          <w:rFonts w:ascii="Times New Roman" w:hAnsi="Times New Roman" w:cs="Times New Roman"/>
          <w:sz w:val="24"/>
          <w:szCs w:val="24"/>
        </w:rPr>
        <w:t xml:space="preserve">(1). </w:t>
      </w:r>
      <w:r>
        <w:rPr>
          <w:rFonts w:ascii="Times New Roman" w:hAnsi="Times New Roman" w:cs="Times New Roman"/>
          <w:sz w:val="24"/>
          <w:szCs w:val="24"/>
        </w:rPr>
        <w:t>Con respecto al primer objetivo planteado,</w:t>
      </w:r>
      <w:r w:rsidRPr="00000A68">
        <w:rPr>
          <w:rFonts w:ascii="Times New Roman" w:hAnsi="Times New Roman" w:cs="Times New Roman"/>
          <w:sz w:val="24"/>
          <w:szCs w:val="24"/>
        </w:rPr>
        <w:t xml:space="preserve"> en Ar</w:t>
      </w:r>
      <w:r>
        <w:rPr>
          <w:rFonts w:ascii="Times New Roman" w:hAnsi="Times New Roman" w:cs="Times New Roman"/>
          <w:sz w:val="24"/>
          <w:szCs w:val="24"/>
        </w:rPr>
        <w:t>gentina en las últimas décadas</w:t>
      </w:r>
      <w:r w:rsidRPr="00000A68">
        <w:rPr>
          <w:rFonts w:ascii="Times New Roman" w:hAnsi="Times New Roman" w:cs="Times New Roman"/>
          <w:sz w:val="24"/>
          <w:szCs w:val="24"/>
        </w:rPr>
        <w:t xml:space="preserve"> se han desarrollado campañas de rociado con piretroides de alto poder residual</w:t>
      </w:r>
      <w:r w:rsidRPr="004E7EA9">
        <w:rPr>
          <w:rFonts w:ascii="Times New Roman" w:hAnsi="Times New Roman" w:cs="Times New Roman"/>
          <w:sz w:val="24"/>
          <w:szCs w:val="24"/>
        </w:rPr>
        <w:t xml:space="preserve"> </w:t>
      </w:r>
      <w:r w:rsidRPr="00000A68">
        <w:rPr>
          <w:rFonts w:ascii="Times New Roman" w:hAnsi="Times New Roman" w:cs="Times New Roman"/>
          <w:sz w:val="24"/>
          <w:szCs w:val="24"/>
        </w:rPr>
        <w:t>en zonas endémicas,</w:t>
      </w:r>
      <w:r>
        <w:rPr>
          <w:rFonts w:ascii="Times New Roman" w:hAnsi="Times New Roman" w:cs="Times New Roman"/>
          <w:sz w:val="24"/>
          <w:szCs w:val="24"/>
        </w:rPr>
        <w:t xml:space="preserve"> para cumplir con el segundo objetivo</w:t>
      </w:r>
      <w:r w:rsidRPr="00000A68">
        <w:rPr>
          <w:rFonts w:ascii="Times New Roman" w:hAnsi="Times New Roman" w:cs="Times New Roman"/>
          <w:sz w:val="24"/>
          <w:szCs w:val="24"/>
        </w:rPr>
        <w:t xml:space="preserve"> se promulgó la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000A68">
        <w:rPr>
          <w:rFonts w:ascii="Times New Roman" w:hAnsi="Times New Roman" w:cs="Times New Roman"/>
          <w:sz w:val="24"/>
          <w:szCs w:val="24"/>
        </w:rPr>
        <w:t>Ley Nacional 26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0A68">
        <w:rPr>
          <w:rFonts w:ascii="Times New Roman" w:hAnsi="Times New Roman" w:cs="Times New Roman"/>
          <w:sz w:val="24"/>
          <w:szCs w:val="24"/>
        </w:rPr>
        <w:t>281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000A68">
        <w:rPr>
          <w:rFonts w:ascii="Times New Roman" w:hAnsi="Times New Roman" w:cs="Times New Roman"/>
          <w:sz w:val="24"/>
          <w:szCs w:val="24"/>
        </w:rPr>
        <w:t xml:space="preserve"> en  el año 2007, </w:t>
      </w:r>
      <w:r>
        <w:rPr>
          <w:rFonts w:ascii="Times New Roman" w:hAnsi="Times New Roman" w:cs="Times New Roman"/>
          <w:sz w:val="24"/>
          <w:szCs w:val="24"/>
        </w:rPr>
        <w:t xml:space="preserve">la que </w:t>
      </w:r>
      <w:r w:rsidRPr="00000A68">
        <w:rPr>
          <w:rFonts w:ascii="Times New Roman" w:hAnsi="Times New Roman" w:cs="Times New Roman"/>
          <w:sz w:val="24"/>
          <w:szCs w:val="24"/>
        </w:rPr>
        <w:t xml:space="preserve"> contempla la obligatoriedad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000A68">
        <w:rPr>
          <w:rFonts w:ascii="Times New Roman" w:hAnsi="Times New Roman" w:cs="Times New Roman"/>
          <w:sz w:val="24"/>
          <w:szCs w:val="24"/>
        </w:rPr>
        <w:t xml:space="preserve"> los controles serológicos en donantes y receptores de órganos, tejidos y de sangre a transfundir. Estas medidas </w:t>
      </w:r>
      <w:r>
        <w:rPr>
          <w:rFonts w:ascii="Times New Roman" w:hAnsi="Times New Roman" w:cs="Times New Roman"/>
          <w:sz w:val="24"/>
          <w:szCs w:val="24"/>
        </w:rPr>
        <w:t>permitieron que</w:t>
      </w:r>
      <w:r w:rsidRPr="00000A68">
        <w:rPr>
          <w:rFonts w:ascii="Times New Roman" w:hAnsi="Times New Roman" w:cs="Times New Roman"/>
          <w:sz w:val="24"/>
          <w:szCs w:val="24"/>
        </w:rPr>
        <w:t xml:space="preserve"> en Argentina disminu</w:t>
      </w:r>
      <w:r>
        <w:rPr>
          <w:rFonts w:ascii="Times New Roman" w:hAnsi="Times New Roman" w:cs="Times New Roman"/>
          <w:sz w:val="24"/>
          <w:szCs w:val="24"/>
        </w:rPr>
        <w:t>yera</w:t>
      </w:r>
      <w:r w:rsidRPr="00000A68">
        <w:rPr>
          <w:rFonts w:ascii="Times New Roman" w:hAnsi="Times New Roman" w:cs="Times New Roman"/>
          <w:sz w:val="24"/>
          <w:szCs w:val="24"/>
        </w:rPr>
        <w:t xml:space="preserve"> de manera considerable y sostenida, tanto la transmisión por vía transfusional como la transmisión por vía vectorial. Si bien se puede entender como un éxito el retroceso sostenido del territorio </w:t>
      </w:r>
      <w:r>
        <w:rPr>
          <w:rFonts w:ascii="Times New Roman" w:hAnsi="Times New Roman" w:cs="Times New Roman"/>
          <w:sz w:val="24"/>
          <w:szCs w:val="24"/>
        </w:rPr>
        <w:t>habitado</w:t>
      </w:r>
      <w:r w:rsidRPr="00000A68">
        <w:rPr>
          <w:rFonts w:ascii="Times New Roman" w:hAnsi="Times New Roman" w:cs="Times New Roman"/>
          <w:sz w:val="24"/>
          <w:szCs w:val="24"/>
        </w:rPr>
        <w:t xml:space="preserve"> por </w:t>
      </w:r>
      <w:r w:rsidRPr="00000A68">
        <w:rPr>
          <w:rFonts w:ascii="Times New Roman" w:hAnsi="Times New Roman" w:cs="Times New Roman"/>
          <w:i/>
          <w:iCs/>
          <w:sz w:val="24"/>
          <w:szCs w:val="24"/>
        </w:rPr>
        <w:t>T. infestans</w:t>
      </w:r>
      <w:r w:rsidRPr="00000A6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no podemos desconocer que</w:t>
      </w:r>
      <w:r w:rsidRPr="00000A68">
        <w:rPr>
          <w:rFonts w:ascii="Times New Roman" w:hAnsi="Times New Roman" w:cs="Times New Roman"/>
          <w:sz w:val="24"/>
          <w:szCs w:val="24"/>
        </w:rPr>
        <w:t xml:space="preserve"> el uso masivo de insecti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000A68">
        <w:rPr>
          <w:rFonts w:ascii="Times New Roman" w:hAnsi="Times New Roman" w:cs="Times New Roman"/>
          <w:sz w:val="24"/>
          <w:szCs w:val="24"/>
        </w:rPr>
        <w:t xml:space="preserve">idas piretroides </w:t>
      </w:r>
      <w:r>
        <w:rPr>
          <w:rFonts w:ascii="Times New Roman" w:hAnsi="Times New Roman" w:cs="Times New Roman"/>
          <w:sz w:val="24"/>
          <w:szCs w:val="24"/>
        </w:rPr>
        <w:t>sumado a</w:t>
      </w:r>
      <w:r w:rsidRPr="00000A68">
        <w:rPr>
          <w:rFonts w:ascii="Times New Roman" w:hAnsi="Times New Roman" w:cs="Times New Roman"/>
          <w:sz w:val="24"/>
          <w:szCs w:val="24"/>
        </w:rPr>
        <w:t xml:space="preserve"> la sub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00A68">
        <w:rPr>
          <w:rFonts w:ascii="Times New Roman" w:hAnsi="Times New Roman" w:cs="Times New Roman"/>
          <w:sz w:val="24"/>
          <w:szCs w:val="24"/>
        </w:rPr>
        <w:t>dosificaci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000A68">
        <w:rPr>
          <w:rFonts w:ascii="Times New Roman" w:hAnsi="Times New Roman" w:cs="Times New Roman"/>
          <w:sz w:val="24"/>
          <w:szCs w:val="24"/>
        </w:rPr>
        <w:t>n observa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000A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fundamentalmente a nivel del ecosistema </w:t>
      </w:r>
      <w:r w:rsidRPr="00000A68">
        <w:rPr>
          <w:rFonts w:ascii="Times New Roman" w:hAnsi="Times New Roman" w:cs="Times New Roman"/>
          <w:sz w:val="24"/>
          <w:szCs w:val="24"/>
        </w:rPr>
        <w:t>que conforma el peridomicilio, llevó al desarrollo de distintos focos de vinchucas resisten</w:t>
      </w:r>
      <w:r>
        <w:rPr>
          <w:rFonts w:ascii="Times New Roman" w:hAnsi="Times New Roman" w:cs="Times New Roman"/>
          <w:sz w:val="24"/>
          <w:szCs w:val="24"/>
        </w:rPr>
        <w:t>tes</w:t>
      </w:r>
      <w:r w:rsidRPr="00000A68">
        <w:rPr>
          <w:rFonts w:ascii="Times New Roman" w:hAnsi="Times New Roman" w:cs="Times New Roman"/>
          <w:sz w:val="24"/>
          <w:szCs w:val="24"/>
        </w:rPr>
        <w:t xml:space="preserve"> a los insecticidas</w:t>
      </w:r>
      <w:r>
        <w:rPr>
          <w:rFonts w:ascii="Times New Roman" w:hAnsi="Times New Roman" w:cs="Times New Roman"/>
          <w:sz w:val="24"/>
          <w:szCs w:val="24"/>
        </w:rPr>
        <w:t xml:space="preserve"> empleados</w:t>
      </w:r>
      <w:r w:rsidRPr="00000A68">
        <w:rPr>
          <w:rFonts w:ascii="Times New Roman" w:hAnsi="Times New Roman" w:cs="Times New Roman"/>
          <w:sz w:val="24"/>
          <w:szCs w:val="24"/>
        </w:rPr>
        <w:t>.</w:t>
      </w:r>
    </w:p>
    <w:p w:rsidR="00F62958" w:rsidRDefault="00F62958" w:rsidP="00BC6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tratamiento de los animales, fuente de alimentación para las vinchucas, que habitan el domicilio-peridomicilio con sustancias activas frente a </w:t>
      </w:r>
      <w:r w:rsidRPr="00CE5E9A">
        <w:rPr>
          <w:rFonts w:ascii="Times New Roman" w:hAnsi="Times New Roman" w:cs="Times New Roman"/>
          <w:i/>
          <w:iCs/>
          <w:sz w:val="24"/>
          <w:szCs w:val="24"/>
        </w:rPr>
        <w:t>T. infestans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00A68">
        <w:rPr>
          <w:rFonts w:ascii="Times New Roman" w:hAnsi="Times New Roman" w:cs="Times New Roman"/>
          <w:sz w:val="24"/>
          <w:szCs w:val="24"/>
        </w:rPr>
        <w:t xml:space="preserve">se ha convertido en una de las principales líneas de investigación para contrarrestar al </w:t>
      </w:r>
      <w:r>
        <w:rPr>
          <w:rFonts w:ascii="Times New Roman" w:hAnsi="Times New Roman" w:cs="Times New Roman"/>
          <w:sz w:val="24"/>
          <w:szCs w:val="24"/>
        </w:rPr>
        <w:t>fenómeno</w:t>
      </w:r>
      <w:r w:rsidRPr="00000A68">
        <w:rPr>
          <w:rFonts w:ascii="Times New Roman" w:hAnsi="Times New Roman" w:cs="Times New Roman"/>
          <w:sz w:val="24"/>
          <w:szCs w:val="24"/>
        </w:rPr>
        <w:t xml:space="preserve"> de resistenc</w:t>
      </w:r>
      <w:r>
        <w:rPr>
          <w:rFonts w:ascii="Times New Roman" w:hAnsi="Times New Roman" w:cs="Times New Roman"/>
          <w:sz w:val="24"/>
          <w:szCs w:val="24"/>
        </w:rPr>
        <w:t xml:space="preserve">ia a los piretroides. De manera tal que en el presente estudio pretendemos evaluar la eficacia de dos endectocidas, doramectina e ivermectina, sobre </w:t>
      </w:r>
      <w:r w:rsidRPr="00CE5E9A">
        <w:rPr>
          <w:rFonts w:ascii="Times New Roman" w:hAnsi="Times New Roman" w:cs="Times New Roman"/>
          <w:i/>
          <w:iCs/>
          <w:sz w:val="24"/>
          <w:szCs w:val="24"/>
        </w:rPr>
        <w:t>T. infestans</w:t>
      </w:r>
      <w:r>
        <w:rPr>
          <w:rFonts w:ascii="Times New Roman" w:hAnsi="Times New Roman" w:cs="Times New Roman"/>
          <w:sz w:val="24"/>
          <w:szCs w:val="24"/>
        </w:rPr>
        <w:t xml:space="preserve"> utilizando un modelo aviar.  Simultáneamente nos planteamos evaluar el perfil farmacocinético seguido por ambas moléculas administradas en gallinas con el objetivo de correlacionar los niveles plasmáticos con la eficacia anti-triatoma. </w:t>
      </w:r>
      <w:r w:rsidRPr="00000A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958" w:rsidRDefault="00F62958" w:rsidP="00B25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1C6">
        <w:rPr>
          <w:rFonts w:ascii="Times New Roman" w:hAnsi="Times New Roman" w:cs="Times New Roman"/>
          <w:b/>
          <w:bCs/>
          <w:sz w:val="24"/>
          <w:szCs w:val="24"/>
        </w:rPr>
        <w:t>MATERIALES Y MÉTODOS</w:t>
      </w:r>
      <w:r w:rsidRPr="0053382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se utilizaron 12</w:t>
      </w:r>
      <w:r w:rsidRPr="00F21CF5">
        <w:rPr>
          <w:rFonts w:ascii="Times New Roman" w:hAnsi="Times New Roman" w:cs="Times New Roman"/>
          <w:sz w:val="24"/>
          <w:szCs w:val="24"/>
        </w:rPr>
        <w:t xml:space="preserve"> gallinas (Rhode island) sanas de un peso de 2.5-2.8 Kg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C63E0">
        <w:rPr>
          <w:rFonts w:ascii="Times New Roman" w:hAnsi="Times New Roman" w:cs="Times New Roman"/>
          <w:sz w:val="24"/>
          <w:szCs w:val="24"/>
        </w:rPr>
        <w:t xml:space="preserve">Los ejemplares de </w:t>
      </w:r>
      <w:r w:rsidRPr="00EC64BD">
        <w:rPr>
          <w:rFonts w:ascii="Times New Roman" w:hAnsi="Times New Roman" w:cs="Times New Roman"/>
          <w:i/>
          <w:iCs/>
          <w:sz w:val="24"/>
          <w:szCs w:val="24"/>
        </w:rPr>
        <w:t>T. infestans</w:t>
      </w:r>
      <w:r w:rsidRPr="009C63E0">
        <w:rPr>
          <w:rFonts w:ascii="Times New Roman" w:hAnsi="Times New Roman" w:cs="Times New Roman"/>
          <w:sz w:val="24"/>
          <w:szCs w:val="24"/>
        </w:rPr>
        <w:t xml:space="preserve"> utilizados en el ensayo fueron</w:t>
      </w:r>
      <w:r>
        <w:rPr>
          <w:rFonts w:ascii="Times New Roman" w:hAnsi="Times New Roman" w:cs="Times New Roman"/>
          <w:sz w:val="24"/>
          <w:szCs w:val="24"/>
        </w:rPr>
        <w:t xml:space="preserve"> 1800</w:t>
      </w:r>
      <w:r w:rsidRPr="009C63E0">
        <w:rPr>
          <w:rFonts w:ascii="Times New Roman" w:hAnsi="Times New Roman" w:cs="Times New Roman"/>
          <w:sz w:val="24"/>
          <w:szCs w:val="24"/>
        </w:rPr>
        <w:t xml:space="preserve"> ninfas de quinto estadio con 15 días de ayuno y mantenidos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3E0">
        <w:rPr>
          <w:rFonts w:ascii="Times New Roman" w:hAnsi="Times New Roman" w:cs="Times New Roman"/>
          <w:sz w:val="24"/>
          <w:szCs w:val="24"/>
        </w:rPr>
        <w:t xml:space="preserve">en condiciones controladas de temperatura 25-30°C, 50-70 % HR y foto-período 12:12 h. Los ejemplares de </w:t>
      </w:r>
      <w:r w:rsidRPr="00D833F5">
        <w:rPr>
          <w:rFonts w:ascii="Times New Roman" w:hAnsi="Times New Roman" w:cs="Times New Roman"/>
          <w:i/>
          <w:iCs/>
          <w:sz w:val="24"/>
          <w:szCs w:val="24"/>
        </w:rPr>
        <w:t>T. infestans</w:t>
      </w:r>
      <w:r w:rsidRPr="009C63E0">
        <w:rPr>
          <w:rFonts w:ascii="Times New Roman" w:hAnsi="Times New Roman" w:cs="Times New Roman"/>
          <w:sz w:val="24"/>
          <w:szCs w:val="24"/>
        </w:rPr>
        <w:t xml:space="preserve"> fueron provistos por el  Centro de Referencia de Vectores, Córdoba,  Argentina y se encontraban libres de </w:t>
      </w:r>
      <w:r w:rsidRPr="00DD3D92">
        <w:rPr>
          <w:rFonts w:ascii="Times New Roman" w:hAnsi="Times New Roman" w:cs="Times New Roman"/>
          <w:i/>
          <w:iCs/>
          <w:sz w:val="24"/>
          <w:szCs w:val="24"/>
        </w:rPr>
        <w:t>Trypanosoma cruzi</w:t>
      </w:r>
      <w:r w:rsidRPr="009C63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821">
        <w:rPr>
          <w:rFonts w:ascii="Times New Roman" w:hAnsi="Times New Roman" w:cs="Times New Roman"/>
          <w:sz w:val="24"/>
          <w:szCs w:val="24"/>
        </w:rPr>
        <w:t>Las gallinas fueron divididas</w:t>
      </w:r>
      <w:r>
        <w:rPr>
          <w:rFonts w:ascii="Times New Roman" w:hAnsi="Times New Roman" w:cs="Times New Roman"/>
          <w:sz w:val="24"/>
          <w:szCs w:val="24"/>
        </w:rPr>
        <w:t xml:space="preserve"> en 3</w:t>
      </w:r>
      <w:r w:rsidRPr="00533821">
        <w:rPr>
          <w:rFonts w:ascii="Times New Roman" w:hAnsi="Times New Roman" w:cs="Times New Roman"/>
          <w:sz w:val="24"/>
          <w:szCs w:val="24"/>
        </w:rPr>
        <w:t xml:space="preserve"> grupos de 4 individuos cada uno. Cada grupo fue alojado en jaulas separadas. Las gallinas de</w:t>
      </w:r>
      <w:r>
        <w:rPr>
          <w:rFonts w:ascii="Times New Roman" w:hAnsi="Times New Roman" w:cs="Times New Roman"/>
          <w:sz w:val="24"/>
          <w:szCs w:val="24"/>
        </w:rPr>
        <w:t xml:space="preserve"> los  </w:t>
      </w:r>
      <w:r w:rsidRPr="00533821">
        <w:rPr>
          <w:rFonts w:ascii="Times New Roman" w:hAnsi="Times New Roman" w:cs="Times New Roman"/>
          <w:sz w:val="24"/>
          <w:szCs w:val="24"/>
        </w:rPr>
        <w:t>grupo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33821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y 2 </w:t>
      </w:r>
      <w:r w:rsidRPr="00533821">
        <w:rPr>
          <w:rFonts w:ascii="Times New Roman" w:hAnsi="Times New Roman" w:cs="Times New Roman"/>
          <w:sz w:val="24"/>
          <w:szCs w:val="24"/>
        </w:rPr>
        <w:t>(GT</w:t>
      </w:r>
      <w:r w:rsidRPr="00CE5E9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-GT</w:t>
      </w:r>
      <w:r w:rsidRPr="00CE5E9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338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821">
        <w:rPr>
          <w:rFonts w:ascii="Times New Roman" w:hAnsi="Times New Roman" w:cs="Times New Roman"/>
          <w:sz w:val="24"/>
          <w:szCs w:val="24"/>
        </w:rPr>
        <w:t>recibieron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33821">
        <w:rPr>
          <w:rFonts w:ascii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hAnsi="Times New Roman" w:cs="Times New Roman"/>
          <w:sz w:val="24"/>
          <w:szCs w:val="24"/>
        </w:rPr>
        <w:t xml:space="preserve">forma </w:t>
      </w:r>
      <w:r w:rsidRPr="00533821">
        <w:rPr>
          <w:rFonts w:ascii="Times New Roman" w:hAnsi="Times New Roman" w:cs="Times New Roman"/>
          <w:i/>
          <w:iCs/>
          <w:sz w:val="24"/>
          <w:szCs w:val="24"/>
        </w:rPr>
        <w:t>spot on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ivermectina (IVM) y doramectina (DRM) respectivamente, ambas</w:t>
      </w:r>
      <w:r w:rsidRPr="00533821">
        <w:rPr>
          <w:rFonts w:ascii="Times New Roman" w:hAnsi="Times New Roman" w:cs="Times New Roman"/>
          <w:sz w:val="24"/>
          <w:szCs w:val="24"/>
        </w:rPr>
        <w:t xml:space="preserve"> al 0.5% en dimetilsulfóxido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821">
        <w:rPr>
          <w:rFonts w:ascii="Times New Roman" w:hAnsi="Times New Roman" w:cs="Times New Roman"/>
          <w:sz w:val="24"/>
          <w:szCs w:val="24"/>
        </w:rPr>
        <w:t>(DMSO) a razón de 600 µg/Kg de peso vivo.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82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os animales del </w:t>
      </w:r>
      <w:r w:rsidRPr="00533821">
        <w:rPr>
          <w:rFonts w:ascii="Times New Roman" w:hAnsi="Times New Roman" w:cs="Times New Roman"/>
          <w:sz w:val="24"/>
          <w:szCs w:val="24"/>
        </w:rPr>
        <w:t>grupo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533821">
        <w:rPr>
          <w:rFonts w:ascii="Times New Roman" w:hAnsi="Times New Roman" w:cs="Times New Roman"/>
          <w:sz w:val="24"/>
          <w:szCs w:val="24"/>
        </w:rPr>
        <w:t xml:space="preserve"> se les administró DMSO,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821">
        <w:rPr>
          <w:rFonts w:ascii="Times New Roman" w:hAnsi="Times New Roman" w:cs="Times New Roman"/>
          <w:sz w:val="24"/>
          <w:szCs w:val="24"/>
        </w:rPr>
        <w:t>considerándose</w:t>
      </w:r>
      <w:r>
        <w:rPr>
          <w:rFonts w:ascii="Times New Roman" w:hAnsi="Times New Roman" w:cs="Times New Roman"/>
          <w:sz w:val="24"/>
          <w:szCs w:val="24"/>
        </w:rPr>
        <w:t xml:space="preserve"> como grupo control</w:t>
      </w:r>
      <w:r w:rsidRPr="00533821">
        <w:rPr>
          <w:rFonts w:ascii="Times New Roman" w:hAnsi="Times New Roman" w:cs="Times New Roman"/>
          <w:sz w:val="24"/>
          <w:szCs w:val="24"/>
        </w:rPr>
        <w:t xml:space="preserve"> (GC).</w:t>
      </w:r>
      <w:r>
        <w:rPr>
          <w:rFonts w:ascii="Times New Roman" w:hAnsi="Times New Roman" w:cs="Times New Roman"/>
          <w:sz w:val="24"/>
          <w:szCs w:val="24"/>
        </w:rPr>
        <w:t xml:space="preserve"> Para evaluar la eficacia de ambas moléculas sobre las vinchucas, se inmovilizaron las gallinas, tanto de los grupos GT como del grupo GC, y a distintos tiempos horarios durante 28 días postadministración se permitió que lotes de 10 vinchucas se alimentasen </w:t>
      </w:r>
      <w:r w:rsidRPr="005C175D">
        <w:rPr>
          <w:rFonts w:ascii="Times New Roman" w:hAnsi="Times New Roman" w:cs="Times New Roman"/>
          <w:i/>
          <w:iCs/>
          <w:sz w:val="24"/>
          <w:szCs w:val="24"/>
        </w:rPr>
        <w:t>ad libitum</w:t>
      </w:r>
      <w:r>
        <w:rPr>
          <w:rFonts w:ascii="Times New Roman" w:hAnsi="Times New Roman" w:cs="Times New Roman"/>
          <w:sz w:val="24"/>
          <w:szCs w:val="24"/>
        </w:rPr>
        <w:t xml:space="preserve"> sobre las aves</w:t>
      </w:r>
      <w:r w:rsidRPr="00B508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durante un periodo de una hora. L</w:t>
      </w:r>
      <w:r w:rsidRPr="002D50D1">
        <w:rPr>
          <w:rFonts w:ascii="Times New Roman" w:hAnsi="Times New Roman" w:cs="Times New Roman"/>
          <w:sz w:val="24"/>
          <w:szCs w:val="24"/>
        </w:rPr>
        <w:t xml:space="preserve">a mortalidad de los insectos </w:t>
      </w:r>
      <w:r>
        <w:rPr>
          <w:rFonts w:ascii="Times New Roman" w:hAnsi="Times New Roman" w:cs="Times New Roman"/>
          <w:sz w:val="24"/>
          <w:szCs w:val="24"/>
        </w:rPr>
        <w:t xml:space="preserve">se registró </w:t>
      </w:r>
      <w:r w:rsidRPr="002D50D1">
        <w:rPr>
          <w:rFonts w:ascii="Times New Roman" w:hAnsi="Times New Roman" w:cs="Times New Roman"/>
          <w:sz w:val="24"/>
          <w:szCs w:val="24"/>
        </w:rPr>
        <w:t>cada 24 hs durante una semana</w:t>
      </w:r>
      <w:r>
        <w:rPr>
          <w:rFonts w:ascii="Times New Roman" w:hAnsi="Times New Roman" w:cs="Times New Roman"/>
          <w:sz w:val="24"/>
          <w:szCs w:val="24"/>
        </w:rPr>
        <w:t xml:space="preserve"> postalimentación. </w:t>
      </w:r>
      <w:r w:rsidRPr="00A6152B">
        <w:rPr>
          <w:rFonts w:ascii="Times New Roman" w:hAnsi="Times New Roman" w:cs="Times New Roman"/>
          <w:sz w:val="24"/>
          <w:szCs w:val="24"/>
        </w:rPr>
        <w:t xml:space="preserve">A partir de los porcentajes diarios de reducción de ejemplares de </w:t>
      </w:r>
      <w:r w:rsidRPr="000B7A79">
        <w:rPr>
          <w:rFonts w:ascii="Times New Roman" w:hAnsi="Times New Roman" w:cs="Times New Roman"/>
          <w:i/>
          <w:iCs/>
          <w:sz w:val="24"/>
          <w:szCs w:val="24"/>
        </w:rPr>
        <w:t>T. infestans</w:t>
      </w:r>
      <w:r w:rsidRPr="00A6152B">
        <w:rPr>
          <w:rFonts w:ascii="Times New Roman" w:hAnsi="Times New Roman" w:cs="Times New Roman"/>
          <w:sz w:val="24"/>
          <w:szCs w:val="24"/>
        </w:rPr>
        <w:t>, se calculó el área bajo la curva (ABC) y se establecieron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52B">
        <w:rPr>
          <w:rFonts w:ascii="Times New Roman" w:hAnsi="Times New Roman" w:cs="Times New Roman"/>
          <w:sz w:val="24"/>
          <w:szCs w:val="24"/>
        </w:rPr>
        <w:t xml:space="preserve">los tiempos de eficacia del antiparasitario (EF%). Se aplicó un análisis no compartimental, mediante la regla trapezoidal,  con el empleo del paquete informáticoWinNonLin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615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615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52B">
        <w:rPr>
          <w:rFonts w:ascii="Times New Roman" w:hAnsi="Times New Roman" w:cs="Times New Roman"/>
          <w:sz w:val="24"/>
          <w:szCs w:val="24"/>
        </w:rPr>
        <w:t xml:space="preserve">Se calculó la mortandad de vinchucas con un intervalo de confianza 95% (IC95). </w:t>
      </w:r>
      <w:r>
        <w:rPr>
          <w:rFonts w:ascii="Times New Roman" w:hAnsi="Times New Roman" w:cs="Times New Roman"/>
          <w:sz w:val="24"/>
          <w:szCs w:val="24"/>
        </w:rPr>
        <w:t xml:space="preserve">Para el estudio farmacocinético de ambos endectocidas, </w:t>
      </w:r>
      <w:r w:rsidRPr="005C35D7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obtuvo</w:t>
      </w:r>
      <w:r w:rsidRPr="005C35D7">
        <w:rPr>
          <w:rFonts w:ascii="Times New Roman" w:hAnsi="Times New Roman" w:cs="Times New Roman"/>
          <w:sz w:val="24"/>
          <w:szCs w:val="24"/>
        </w:rPr>
        <w:t xml:space="preserve"> sangre </w:t>
      </w:r>
      <w:r>
        <w:rPr>
          <w:rFonts w:ascii="Times New Roman" w:hAnsi="Times New Roman" w:cs="Times New Roman"/>
          <w:sz w:val="24"/>
          <w:szCs w:val="24"/>
        </w:rPr>
        <w:t>en jeringas heparinizadas a partir de la vena del ala y a diferentes tiempos post-adminstración hasta los 28 días a cada uno de los animales experimentales</w:t>
      </w:r>
      <w:r w:rsidRPr="005C35D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Los endectocidas fueron cuantificados </w:t>
      </w:r>
      <w:r w:rsidRPr="00796F91">
        <w:rPr>
          <w:rFonts w:ascii="Times New Roman" w:hAnsi="Times New Roman" w:cs="Times New Roman"/>
          <w:sz w:val="24"/>
          <w:szCs w:val="24"/>
        </w:rPr>
        <w:t xml:space="preserve"> en las muestras plasmáticas obtenidas por cromatografía líquida de alta presión con detección fluorométrica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F91">
        <w:rPr>
          <w:rFonts w:ascii="Times New Roman" w:hAnsi="Times New Roman" w:cs="Times New Roman"/>
          <w:sz w:val="24"/>
          <w:szCs w:val="24"/>
        </w:rPr>
        <w:t>(HPLC-FLU). Se siguió un método analítico validado en nuestro laboratorio (SOP: IVM-PL-VMA-10/02)</w:t>
      </w:r>
      <w:r>
        <w:rPr>
          <w:rFonts w:ascii="Times New Roman" w:hAnsi="Times New Roman" w:cs="Times New Roman"/>
          <w:sz w:val="24"/>
          <w:szCs w:val="24"/>
        </w:rPr>
        <w:t xml:space="preserve"> (2). </w:t>
      </w:r>
      <w:r w:rsidRPr="00B25343">
        <w:rPr>
          <w:rFonts w:ascii="Times New Roman" w:hAnsi="Times New Roman" w:cs="Times New Roman"/>
          <w:sz w:val="24"/>
          <w:szCs w:val="24"/>
        </w:rPr>
        <w:t>El análisis farmacocinético de los datos se realizó con el empleo del paquete informático WinNonlin Professional 6.2 (Pharsight Corporation).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43">
        <w:rPr>
          <w:rFonts w:ascii="Times New Roman" w:hAnsi="Times New Roman" w:cs="Times New Roman"/>
          <w:sz w:val="24"/>
          <w:szCs w:val="24"/>
        </w:rPr>
        <w:t>La discriminación del modelo cinético que mejor se ajusta al perfil plasmático de IVM en función del tiempo en aves se realizó aplicando el test MAICE (Minimum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43">
        <w:rPr>
          <w:rFonts w:ascii="Times New Roman" w:hAnsi="Times New Roman" w:cs="Times New Roman"/>
          <w:sz w:val="24"/>
          <w:szCs w:val="24"/>
        </w:rPr>
        <w:t>Akaike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43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43">
        <w:rPr>
          <w:rFonts w:ascii="Times New Roman" w:hAnsi="Times New Roman" w:cs="Times New Roman"/>
          <w:sz w:val="24"/>
          <w:szCs w:val="24"/>
        </w:rPr>
        <w:t>Criterion</w:t>
      </w:r>
      <w:r>
        <w:rPr>
          <w:rFonts w:ascii="Times New Roman" w:hAnsi="Times New Roman" w:cs="Times New Roman"/>
          <w:sz w:val="24"/>
          <w:szCs w:val="24"/>
        </w:rPr>
        <w:t xml:space="preserve"> Estimation).</w:t>
      </w:r>
    </w:p>
    <w:p w:rsidR="00F62958" w:rsidRDefault="00F62958" w:rsidP="00B25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554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>
        <w:rPr>
          <w:rFonts w:ascii="Times New Roman" w:hAnsi="Times New Roman" w:cs="Times New Roman"/>
          <w:sz w:val="24"/>
          <w:szCs w:val="24"/>
        </w:rPr>
        <w:t>: e</w:t>
      </w:r>
      <w:r w:rsidRPr="00677554">
        <w:rPr>
          <w:rFonts w:ascii="Times New Roman" w:hAnsi="Times New Roman" w:cs="Times New Roman"/>
          <w:sz w:val="24"/>
          <w:szCs w:val="24"/>
        </w:rPr>
        <w:t>l porcentaje de morta</w:t>
      </w:r>
      <w:r>
        <w:rPr>
          <w:rFonts w:ascii="Times New Roman" w:hAnsi="Times New Roman" w:cs="Times New Roman"/>
          <w:sz w:val="24"/>
          <w:szCs w:val="24"/>
        </w:rPr>
        <w:t xml:space="preserve">ndad de las ninfas </w:t>
      </w:r>
      <w:r w:rsidRPr="00677554">
        <w:rPr>
          <w:rFonts w:ascii="Times New Roman" w:hAnsi="Times New Roman" w:cs="Times New Roman"/>
          <w:sz w:val="24"/>
          <w:szCs w:val="24"/>
        </w:rPr>
        <w:t>durante todo el ensayo</w:t>
      </w:r>
      <w:r>
        <w:rPr>
          <w:rFonts w:ascii="Times New Roman" w:hAnsi="Times New Roman" w:cs="Times New Roman"/>
          <w:sz w:val="24"/>
          <w:szCs w:val="24"/>
        </w:rPr>
        <w:t xml:space="preserve"> fue de 24 y 31% para IVM y DRM respectivamente</w:t>
      </w:r>
      <w:r w:rsidRPr="00677554">
        <w:rPr>
          <w:rFonts w:ascii="Times New Roman" w:hAnsi="Times New Roman" w:cs="Times New Roman"/>
          <w:sz w:val="24"/>
          <w:szCs w:val="24"/>
        </w:rPr>
        <w:t>. La reducción de vinchucas (RE%) come</w:t>
      </w:r>
      <w:r>
        <w:rPr>
          <w:rFonts w:ascii="Times New Roman" w:hAnsi="Times New Roman" w:cs="Times New Roman"/>
          <w:sz w:val="24"/>
          <w:szCs w:val="24"/>
        </w:rPr>
        <w:t xml:space="preserve">nzó a las 24 h, siendo de un 20 y 25%  para IVM y DRM. Ambas moléculas mostraron la máxima mortalidad sobre las ninfas a las 120 hs (46 y 63%) para IVM y DRM respectivamente. </w:t>
      </w:r>
      <w:r w:rsidRPr="001426B0">
        <w:rPr>
          <w:rFonts w:ascii="Times New Roman" w:hAnsi="Times New Roman" w:cs="Times New Roman"/>
          <w:sz w:val="24"/>
          <w:szCs w:val="24"/>
        </w:rPr>
        <w:t xml:space="preserve">El perfil plasmático </w:t>
      </w:r>
      <w:r>
        <w:rPr>
          <w:rFonts w:ascii="Times New Roman" w:hAnsi="Times New Roman" w:cs="Times New Roman"/>
          <w:sz w:val="24"/>
          <w:szCs w:val="24"/>
        </w:rPr>
        <w:t>tanto de IVM como DRM</w:t>
      </w:r>
      <w:r w:rsidRPr="001426B0">
        <w:rPr>
          <w:rFonts w:ascii="Times New Roman" w:hAnsi="Times New Roman" w:cs="Times New Roman"/>
          <w:sz w:val="24"/>
          <w:szCs w:val="24"/>
        </w:rPr>
        <w:t xml:space="preserve"> se ajustó a un modelo monocompartimental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26B0">
        <w:rPr>
          <w:rFonts w:ascii="Times New Roman" w:hAnsi="Times New Roman" w:cs="Times New Roman"/>
          <w:sz w:val="24"/>
          <w:szCs w:val="24"/>
        </w:rPr>
        <w:t>abierto de primer orden</w:t>
      </w:r>
      <w:r>
        <w:rPr>
          <w:rFonts w:ascii="Times New Roman" w:hAnsi="Times New Roman" w:cs="Times New Roman"/>
          <w:sz w:val="24"/>
          <w:szCs w:val="24"/>
        </w:rPr>
        <w:t xml:space="preserve">. IVM </w:t>
      </w:r>
      <w:r w:rsidRPr="001426B0">
        <w:rPr>
          <w:rFonts w:ascii="Times New Roman" w:hAnsi="Times New Roman" w:cs="Times New Roman"/>
          <w:sz w:val="24"/>
          <w:szCs w:val="24"/>
        </w:rPr>
        <w:t>se absorbió rápidamente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26B0">
        <w:rPr>
          <w:rFonts w:ascii="Times New Roman" w:hAnsi="Times New Roman" w:cs="Times New Roman"/>
          <w:sz w:val="24"/>
          <w:szCs w:val="24"/>
        </w:rPr>
        <w:t xml:space="preserve"> alcanzando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26B0">
        <w:rPr>
          <w:rFonts w:ascii="Times New Roman" w:hAnsi="Times New Roman" w:cs="Times New Roman"/>
          <w:sz w:val="24"/>
          <w:szCs w:val="24"/>
        </w:rPr>
        <w:t>una concentración máxima (C</w:t>
      </w:r>
      <w:r w:rsidRPr="00CE5E9A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Pr="001426B0">
        <w:rPr>
          <w:rFonts w:ascii="Times New Roman" w:hAnsi="Times New Roman" w:cs="Times New Roman"/>
          <w:sz w:val="24"/>
          <w:szCs w:val="24"/>
        </w:rPr>
        <w:t>) de 64.7 ± 15.4 ng/mL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26B0">
        <w:rPr>
          <w:rFonts w:ascii="Times New Roman" w:hAnsi="Times New Roman" w:cs="Times New Roman"/>
          <w:sz w:val="24"/>
          <w:szCs w:val="24"/>
        </w:rPr>
        <w:t>a las 48 h (T</w:t>
      </w:r>
      <w:r w:rsidRPr="00CE5E9A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Pr="001426B0">
        <w:rPr>
          <w:rFonts w:ascii="Times New Roman" w:hAnsi="Times New Roman" w:cs="Times New Roman"/>
          <w:sz w:val="24"/>
          <w:szCs w:val="24"/>
        </w:rPr>
        <w:t>) post-aplicación.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26B0">
        <w:rPr>
          <w:rFonts w:ascii="Times New Roman" w:hAnsi="Times New Roman" w:cs="Times New Roman"/>
          <w:sz w:val="24"/>
          <w:szCs w:val="24"/>
        </w:rPr>
        <w:t>Las concentraciones plasmáticas fueron mensuradas hasta las 360 h con niveles de 0.7 ng/mL</w:t>
      </w:r>
      <w:r>
        <w:rPr>
          <w:rFonts w:ascii="Times New Roman" w:hAnsi="Times New Roman" w:cs="Times New Roman"/>
          <w:sz w:val="24"/>
          <w:szCs w:val="24"/>
        </w:rPr>
        <w:t xml:space="preserve">. En el caso de DRM la </w:t>
      </w:r>
      <w:r w:rsidRPr="001426B0">
        <w:rPr>
          <w:rFonts w:ascii="Times New Roman" w:hAnsi="Times New Roman" w:cs="Times New Roman"/>
          <w:sz w:val="24"/>
          <w:szCs w:val="24"/>
        </w:rPr>
        <w:t>C</w:t>
      </w:r>
      <w:r w:rsidRPr="00CE5E9A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>
        <w:rPr>
          <w:rFonts w:ascii="Times New Roman" w:hAnsi="Times New Roman" w:cs="Times New Roman"/>
          <w:sz w:val="24"/>
          <w:szCs w:val="24"/>
        </w:rPr>
        <w:t xml:space="preserve"> fue 100.5 </w:t>
      </w:r>
      <w:r w:rsidRPr="001426B0">
        <w:rPr>
          <w:rFonts w:ascii="Times New Roman" w:hAnsi="Times New Roman" w:cs="Times New Roman"/>
          <w:sz w:val="24"/>
          <w:szCs w:val="24"/>
        </w:rPr>
        <w:t>±</w:t>
      </w:r>
      <w:r>
        <w:rPr>
          <w:rFonts w:ascii="Times New Roman" w:hAnsi="Times New Roman" w:cs="Times New Roman"/>
          <w:sz w:val="24"/>
          <w:szCs w:val="24"/>
        </w:rPr>
        <w:t xml:space="preserve"> 27.4 ng/mL, alcanzándose  a las 132 hs postaplicación (T</w:t>
      </w:r>
      <w:r w:rsidRPr="00CE5E9A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>
        <w:rPr>
          <w:rFonts w:ascii="Times New Roman" w:hAnsi="Times New Roman" w:cs="Times New Roman"/>
          <w:sz w:val="24"/>
          <w:szCs w:val="24"/>
        </w:rPr>
        <w:t>). A las 360 hs postadministración los niveles de DRM se encontraron en el orden de 0.2 ng/mL.</w:t>
      </w:r>
    </w:p>
    <w:p w:rsidR="00F62958" w:rsidRDefault="00F62958" w:rsidP="007A7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55F">
        <w:rPr>
          <w:rFonts w:ascii="Times New Roman" w:hAnsi="Times New Roman" w:cs="Times New Roman"/>
          <w:b/>
          <w:bCs/>
          <w:sz w:val="24"/>
          <w:szCs w:val="24"/>
        </w:rPr>
        <w:t>DISCUSIÓN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Y CONCLUSIÓN</w:t>
      </w:r>
      <w:r>
        <w:rPr>
          <w:rFonts w:ascii="Times New Roman" w:hAnsi="Times New Roman" w:cs="Times New Roman"/>
          <w:sz w:val="24"/>
          <w:szCs w:val="24"/>
        </w:rPr>
        <w:t xml:space="preserve">: ambos endectocidas presentaron un comportamiento similar. Se registró la mayor eficacia frente a </w:t>
      </w:r>
      <w:r w:rsidRPr="001F3692">
        <w:rPr>
          <w:rFonts w:ascii="Times New Roman" w:hAnsi="Times New Roman" w:cs="Times New Roman"/>
          <w:i/>
          <w:iCs/>
          <w:sz w:val="24"/>
          <w:szCs w:val="24"/>
        </w:rPr>
        <w:t>T. infestans</w:t>
      </w:r>
      <w:r>
        <w:rPr>
          <w:rFonts w:ascii="Times New Roman" w:hAnsi="Times New Roman" w:cs="Times New Roman"/>
          <w:sz w:val="24"/>
          <w:szCs w:val="24"/>
        </w:rPr>
        <w:t xml:space="preserve"> cuando las concentraciones plasmáticas de ambas moléculas alcanzaron la C</w:t>
      </w:r>
      <w:r w:rsidRPr="00CE5E9A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>
        <w:rPr>
          <w:rFonts w:ascii="Times New Roman" w:hAnsi="Times New Roman" w:cs="Times New Roman"/>
          <w:sz w:val="24"/>
          <w:szCs w:val="24"/>
        </w:rPr>
        <w:t xml:space="preserve">. Esto indicaría </w:t>
      </w:r>
      <w:r w:rsidRPr="007A78BD">
        <w:rPr>
          <w:rFonts w:ascii="Times New Roman" w:hAnsi="Times New Roman" w:cs="Times New Roman"/>
          <w:sz w:val="24"/>
          <w:szCs w:val="24"/>
        </w:rPr>
        <w:t>que la mortalidad de las ninfas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78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tras</w:t>
      </w:r>
      <w:r w:rsidRPr="007A78BD">
        <w:rPr>
          <w:rFonts w:ascii="Times New Roman" w:hAnsi="Times New Roman" w:cs="Times New Roman"/>
          <w:sz w:val="24"/>
          <w:szCs w:val="24"/>
        </w:rPr>
        <w:t xml:space="preserve"> un determinado tiempo post-administración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78BD">
        <w:rPr>
          <w:rFonts w:ascii="Times New Roman" w:hAnsi="Times New Roman" w:cs="Times New Roman"/>
          <w:sz w:val="24"/>
          <w:szCs w:val="24"/>
        </w:rPr>
        <w:t xml:space="preserve"> est</w:t>
      </w:r>
      <w:r>
        <w:rPr>
          <w:rFonts w:ascii="Times New Roman" w:hAnsi="Times New Roman" w:cs="Times New Roman"/>
          <w:sz w:val="24"/>
          <w:szCs w:val="24"/>
        </w:rPr>
        <w:t>aría</w:t>
      </w:r>
      <w:r w:rsidRPr="007A78BD">
        <w:rPr>
          <w:rFonts w:ascii="Times New Roman" w:hAnsi="Times New Roman" w:cs="Times New Roman"/>
          <w:sz w:val="24"/>
          <w:szCs w:val="24"/>
        </w:rPr>
        <w:t xml:space="preserve"> directamente relacio</w:t>
      </w:r>
      <w:r>
        <w:rPr>
          <w:rFonts w:ascii="Times New Roman" w:hAnsi="Times New Roman" w:cs="Times New Roman"/>
          <w:sz w:val="24"/>
          <w:szCs w:val="24"/>
        </w:rPr>
        <w:t>nada con la concentración plasmática de las moléculas</w:t>
      </w:r>
      <w:r w:rsidRPr="007A78B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7A78BD">
        <w:rPr>
          <w:rFonts w:ascii="Times New Roman" w:hAnsi="Times New Roman" w:cs="Times New Roman"/>
          <w:sz w:val="24"/>
          <w:szCs w:val="24"/>
        </w:rPr>
        <w:t xml:space="preserve">onsiderando que </w:t>
      </w:r>
      <w:r>
        <w:rPr>
          <w:rFonts w:ascii="Times New Roman" w:hAnsi="Times New Roman" w:cs="Times New Roman"/>
          <w:sz w:val="24"/>
          <w:szCs w:val="24"/>
        </w:rPr>
        <w:t>en el presente estudio, empleamos</w:t>
      </w:r>
      <w:r w:rsidRPr="007A78BD">
        <w:rPr>
          <w:rFonts w:ascii="Times New Roman" w:hAnsi="Times New Roman" w:cs="Times New Roman"/>
          <w:sz w:val="24"/>
          <w:szCs w:val="24"/>
        </w:rPr>
        <w:t xml:space="preserve"> formulaci</w:t>
      </w:r>
      <w:r>
        <w:rPr>
          <w:rFonts w:ascii="Times New Roman" w:hAnsi="Times New Roman" w:cs="Times New Roman"/>
          <w:sz w:val="24"/>
          <w:szCs w:val="24"/>
        </w:rPr>
        <w:t>ones</w:t>
      </w:r>
      <w:r w:rsidRPr="007A78BD">
        <w:rPr>
          <w:rFonts w:ascii="Times New Roman" w:hAnsi="Times New Roman" w:cs="Times New Roman"/>
          <w:sz w:val="24"/>
          <w:szCs w:val="24"/>
        </w:rPr>
        <w:t xml:space="preserve"> experimental</w:t>
      </w:r>
      <w:r>
        <w:rPr>
          <w:rFonts w:ascii="Times New Roman" w:hAnsi="Times New Roman" w:cs="Times New Roman"/>
          <w:sz w:val="24"/>
          <w:szCs w:val="24"/>
        </w:rPr>
        <w:t>es, tanto</w:t>
      </w:r>
      <w:r w:rsidRPr="007A78BD">
        <w:rPr>
          <w:rFonts w:ascii="Times New Roman" w:hAnsi="Times New Roman" w:cs="Times New Roman"/>
          <w:sz w:val="24"/>
          <w:szCs w:val="24"/>
        </w:rPr>
        <w:t xml:space="preserve"> de IVM</w:t>
      </w:r>
      <w:r>
        <w:rPr>
          <w:rFonts w:ascii="Times New Roman" w:hAnsi="Times New Roman" w:cs="Times New Roman"/>
          <w:sz w:val="24"/>
          <w:szCs w:val="24"/>
        </w:rPr>
        <w:t xml:space="preserve"> como de DRM,</w:t>
      </w:r>
      <w:r w:rsidRPr="007A78BD">
        <w:rPr>
          <w:rFonts w:ascii="Times New Roman" w:hAnsi="Times New Roman" w:cs="Times New Roman"/>
          <w:sz w:val="24"/>
          <w:szCs w:val="24"/>
        </w:rPr>
        <w:t xml:space="preserve"> disuelta en DMSO, y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Pr="007A78BD">
        <w:rPr>
          <w:rFonts w:ascii="Times New Roman" w:hAnsi="Times New Roman" w:cs="Times New Roman"/>
          <w:sz w:val="24"/>
          <w:szCs w:val="24"/>
        </w:rPr>
        <w:t>se logró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8BD">
        <w:rPr>
          <w:rFonts w:ascii="Times New Roman" w:hAnsi="Times New Roman" w:cs="Times New Roman"/>
          <w:sz w:val="24"/>
          <w:szCs w:val="24"/>
        </w:rPr>
        <w:t xml:space="preserve">cierta </w:t>
      </w:r>
      <w:r>
        <w:rPr>
          <w:rFonts w:ascii="Times New Roman" w:hAnsi="Times New Roman" w:cs="Times New Roman"/>
          <w:sz w:val="24"/>
          <w:szCs w:val="24"/>
        </w:rPr>
        <w:t>eficacia frente a vinchucas</w:t>
      </w:r>
      <w:r w:rsidRPr="007A78BD">
        <w:rPr>
          <w:rFonts w:ascii="Times New Roman" w:hAnsi="Times New Roman" w:cs="Times New Roman"/>
          <w:sz w:val="24"/>
          <w:szCs w:val="24"/>
        </w:rPr>
        <w:t xml:space="preserve">, podemos concluir que </w:t>
      </w:r>
      <w:r>
        <w:rPr>
          <w:rFonts w:ascii="Times New Roman" w:hAnsi="Times New Roman" w:cs="Times New Roman"/>
          <w:sz w:val="24"/>
          <w:szCs w:val="24"/>
        </w:rPr>
        <w:t>ambos antiparasitarios</w:t>
      </w:r>
      <w:r w:rsidRPr="007A78BD">
        <w:rPr>
          <w:rFonts w:ascii="Times New Roman" w:hAnsi="Times New Roman" w:cs="Times New Roman"/>
          <w:sz w:val="24"/>
          <w:szCs w:val="24"/>
        </w:rPr>
        <w:t xml:space="preserve"> puede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A78BD">
        <w:rPr>
          <w:rFonts w:ascii="Times New Roman" w:hAnsi="Times New Roman" w:cs="Times New Roman"/>
          <w:sz w:val="24"/>
          <w:szCs w:val="24"/>
        </w:rPr>
        <w:t xml:space="preserve"> tener un potencial efecto en el control de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7A78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vector del Mal de Chagas</w:t>
      </w:r>
      <w:r w:rsidRPr="007A78BD">
        <w:rPr>
          <w:rFonts w:ascii="Times New Roman" w:hAnsi="Times New Roman" w:cs="Times New Roman"/>
          <w:sz w:val="24"/>
          <w:szCs w:val="24"/>
        </w:rPr>
        <w:t xml:space="preserve"> a nivel peridomiciliario. </w:t>
      </w:r>
      <w:r>
        <w:rPr>
          <w:rFonts w:ascii="Times New Roman" w:hAnsi="Times New Roman" w:cs="Times New Roman"/>
          <w:sz w:val="24"/>
          <w:szCs w:val="24"/>
        </w:rPr>
        <w:t>Si bien no se obtuvo una eficacia del 100%, se obtuvieron datos suficientes para sentar las bases a partir de las cuales se continuará optimizando el modelo y ensayando diferentes formulaciones para maximizar la eficacia triatomicida obtenida.</w:t>
      </w:r>
    </w:p>
    <w:p w:rsidR="00F62958" w:rsidRPr="00BC689E" w:rsidRDefault="00F62958" w:rsidP="007A78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689E">
        <w:rPr>
          <w:rFonts w:ascii="Times New Roman" w:hAnsi="Times New Roman" w:cs="Times New Roman"/>
          <w:b/>
          <w:bCs/>
          <w:sz w:val="24"/>
          <w:szCs w:val="24"/>
        </w:rPr>
        <w:t>BIBLIOGRAFIA</w:t>
      </w:r>
    </w:p>
    <w:p w:rsidR="00F62958" w:rsidRPr="00155509" w:rsidRDefault="00F62958" w:rsidP="00155509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282"/>
        <w:jc w:val="both"/>
        <w:rPr>
          <w:rFonts w:ascii="Times New Roman" w:hAnsi="Times New Roman" w:cs="Times New Roman"/>
          <w:sz w:val="20"/>
          <w:szCs w:val="20"/>
          <w:lang w:eastAsia="es-ES"/>
        </w:rPr>
      </w:pPr>
      <w:r w:rsidRPr="00155509">
        <w:rPr>
          <w:rFonts w:ascii="Times New Roman" w:hAnsi="Times New Roman" w:cs="Times New Roman"/>
          <w:sz w:val="20"/>
          <w:szCs w:val="20"/>
          <w:lang w:eastAsia="es-ES"/>
        </w:rPr>
        <w:t>Salvatella R Schofield J. Enfermedad de Chagas.Iniciativas para su control en</w:t>
      </w:r>
      <w:r>
        <w:rPr>
          <w:rFonts w:ascii="Times New Roman" w:hAnsi="Times New Roman" w:cs="Times New Roman"/>
          <w:sz w:val="20"/>
          <w:szCs w:val="20"/>
          <w:lang w:eastAsia="es-ES"/>
        </w:rPr>
        <w:t xml:space="preserve"> </w:t>
      </w:r>
      <w:r w:rsidRPr="00155509">
        <w:rPr>
          <w:rFonts w:ascii="Times New Roman" w:hAnsi="Times New Roman" w:cs="Times New Roman"/>
          <w:sz w:val="20"/>
          <w:szCs w:val="20"/>
          <w:lang w:eastAsia="es-ES"/>
        </w:rPr>
        <w:t>Latinoamérica. Biomedica 2006 2(1):23.</w:t>
      </w:r>
    </w:p>
    <w:p w:rsidR="00F62958" w:rsidRPr="00533821" w:rsidRDefault="00F62958" w:rsidP="00BC689E">
      <w:pPr>
        <w:numPr>
          <w:ilvl w:val="0"/>
          <w:numId w:val="1"/>
        </w:numPr>
        <w:autoSpaceDE w:val="0"/>
        <w:autoSpaceDN w:val="0"/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  <w:lang w:eastAsia="es-ES"/>
        </w:rPr>
        <w:t>Errecalde JO, Echeverria J, Mestorin N, Soraci</w:t>
      </w:r>
      <w:r w:rsidRPr="002627D4">
        <w:rPr>
          <w:rFonts w:ascii="Times New Roman" w:hAnsi="Times New Roman" w:cs="Times New Roman"/>
          <w:sz w:val="20"/>
          <w:szCs w:val="20"/>
          <w:lang w:eastAsia="es-ES"/>
        </w:rPr>
        <w:t xml:space="preserve"> A. Bioequivalencia entre dos productos a base de ivermectina. Revista de Medicina Veterinaria.  </w:t>
      </w:r>
      <w:r>
        <w:rPr>
          <w:rFonts w:ascii="Times New Roman" w:hAnsi="Times New Roman" w:cs="Times New Roman"/>
          <w:sz w:val="20"/>
          <w:szCs w:val="20"/>
          <w:lang w:eastAsia="es-ES"/>
        </w:rPr>
        <w:t>1996,</w:t>
      </w:r>
      <w:r w:rsidRPr="002627D4">
        <w:rPr>
          <w:rFonts w:ascii="Times New Roman" w:hAnsi="Times New Roman" w:cs="Times New Roman"/>
          <w:sz w:val="20"/>
          <w:szCs w:val="20"/>
          <w:lang w:eastAsia="es-ES"/>
        </w:rPr>
        <w:t xml:space="preserve"> 77(2):92-96</w:t>
      </w:r>
      <w:r w:rsidRPr="00A27B8E">
        <w:rPr>
          <w:rFonts w:ascii="Arial" w:hAnsi="Arial" w:cs="Arial"/>
        </w:rPr>
        <w:t>.</w:t>
      </w:r>
    </w:p>
    <w:sectPr w:rsidR="00F62958" w:rsidRPr="00533821" w:rsidSect="002856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026A8"/>
    <w:multiLevelType w:val="hybridMultilevel"/>
    <w:tmpl w:val="28A6D4E0"/>
    <w:lvl w:ilvl="0" w:tplc="4A7C0C62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85201"/>
    <w:multiLevelType w:val="hybridMultilevel"/>
    <w:tmpl w:val="8DDCD14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D8B"/>
    <w:rsid w:val="00000A68"/>
    <w:rsid w:val="00023C81"/>
    <w:rsid w:val="00092A99"/>
    <w:rsid w:val="000A7AA6"/>
    <w:rsid w:val="000A7D8B"/>
    <w:rsid w:val="000B5AC1"/>
    <w:rsid w:val="000B7A79"/>
    <w:rsid w:val="000F458E"/>
    <w:rsid w:val="0010339C"/>
    <w:rsid w:val="001426B0"/>
    <w:rsid w:val="001438E1"/>
    <w:rsid w:val="00150426"/>
    <w:rsid w:val="00155509"/>
    <w:rsid w:val="00156A38"/>
    <w:rsid w:val="0019429F"/>
    <w:rsid w:val="001A41C1"/>
    <w:rsid w:val="001C2948"/>
    <w:rsid w:val="001E1BCB"/>
    <w:rsid w:val="001E298A"/>
    <w:rsid w:val="001E6AEE"/>
    <w:rsid w:val="001F3692"/>
    <w:rsid w:val="0020107D"/>
    <w:rsid w:val="00244158"/>
    <w:rsid w:val="00246FFB"/>
    <w:rsid w:val="002627D4"/>
    <w:rsid w:val="00271115"/>
    <w:rsid w:val="0028569D"/>
    <w:rsid w:val="00293399"/>
    <w:rsid w:val="00295220"/>
    <w:rsid w:val="002A40A2"/>
    <w:rsid w:val="002C5C67"/>
    <w:rsid w:val="002D50D1"/>
    <w:rsid w:val="002E1951"/>
    <w:rsid w:val="002E41C6"/>
    <w:rsid w:val="002E4333"/>
    <w:rsid w:val="002F7ED9"/>
    <w:rsid w:val="00355107"/>
    <w:rsid w:val="00357FB0"/>
    <w:rsid w:val="0036034B"/>
    <w:rsid w:val="0036736F"/>
    <w:rsid w:val="00384A25"/>
    <w:rsid w:val="003C066B"/>
    <w:rsid w:val="003C4FEE"/>
    <w:rsid w:val="003D556E"/>
    <w:rsid w:val="003F7F62"/>
    <w:rsid w:val="00404094"/>
    <w:rsid w:val="004432E6"/>
    <w:rsid w:val="00456282"/>
    <w:rsid w:val="00463F10"/>
    <w:rsid w:val="004650B1"/>
    <w:rsid w:val="00484D96"/>
    <w:rsid w:val="004C1E80"/>
    <w:rsid w:val="004E155F"/>
    <w:rsid w:val="004E7EA9"/>
    <w:rsid w:val="00510EC0"/>
    <w:rsid w:val="00526FAD"/>
    <w:rsid w:val="00533821"/>
    <w:rsid w:val="00555FC9"/>
    <w:rsid w:val="00586FD2"/>
    <w:rsid w:val="005B139D"/>
    <w:rsid w:val="005C175D"/>
    <w:rsid w:val="005C35D7"/>
    <w:rsid w:val="005C6EA4"/>
    <w:rsid w:val="005E53B2"/>
    <w:rsid w:val="0061535C"/>
    <w:rsid w:val="00661E2D"/>
    <w:rsid w:val="00664275"/>
    <w:rsid w:val="00677554"/>
    <w:rsid w:val="00681821"/>
    <w:rsid w:val="0069224B"/>
    <w:rsid w:val="00695843"/>
    <w:rsid w:val="00695DC5"/>
    <w:rsid w:val="006D3FE1"/>
    <w:rsid w:val="006D63C1"/>
    <w:rsid w:val="006E14E2"/>
    <w:rsid w:val="006E4095"/>
    <w:rsid w:val="006E6D59"/>
    <w:rsid w:val="00710B84"/>
    <w:rsid w:val="00717988"/>
    <w:rsid w:val="00725142"/>
    <w:rsid w:val="00730771"/>
    <w:rsid w:val="00752E25"/>
    <w:rsid w:val="0076080C"/>
    <w:rsid w:val="0077275E"/>
    <w:rsid w:val="00775473"/>
    <w:rsid w:val="0078155E"/>
    <w:rsid w:val="00784F7A"/>
    <w:rsid w:val="00796F91"/>
    <w:rsid w:val="007A4306"/>
    <w:rsid w:val="007A78BD"/>
    <w:rsid w:val="0080187A"/>
    <w:rsid w:val="00821614"/>
    <w:rsid w:val="008342CD"/>
    <w:rsid w:val="0084383C"/>
    <w:rsid w:val="008A39F4"/>
    <w:rsid w:val="008A6F38"/>
    <w:rsid w:val="008B141F"/>
    <w:rsid w:val="008E5452"/>
    <w:rsid w:val="008F0457"/>
    <w:rsid w:val="008F160C"/>
    <w:rsid w:val="0090594A"/>
    <w:rsid w:val="009237EC"/>
    <w:rsid w:val="00937DCB"/>
    <w:rsid w:val="00951F98"/>
    <w:rsid w:val="009536BD"/>
    <w:rsid w:val="00960577"/>
    <w:rsid w:val="0098037A"/>
    <w:rsid w:val="009C63E0"/>
    <w:rsid w:val="009D2BEC"/>
    <w:rsid w:val="00A0767B"/>
    <w:rsid w:val="00A13725"/>
    <w:rsid w:val="00A27A8E"/>
    <w:rsid w:val="00A27B8E"/>
    <w:rsid w:val="00A27E4D"/>
    <w:rsid w:val="00A4278C"/>
    <w:rsid w:val="00A5017C"/>
    <w:rsid w:val="00A6152B"/>
    <w:rsid w:val="00A818B5"/>
    <w:rsid w:val="00A8230A"/>
    <w:rsid w:val="00A95828"/>
    <w:rsid w:val="00AC3AED"/>
    <w:rsid w:val="00AD0E52"/>
    <w:rsid w:val="00AE62FA"/>
    <w:rsid w:val="00AE63C7"/>
    <w:rsid w:val="00AE6A2D"/>
    <w:rsid w:val="00B03749"/>
    <w:rsid w:val="00B1084C"/>
    <w:rsid w:val="00B165CF"/>
    <w:rsid w:val="00B25343"/>
    <w:rsid w:val="00B508FD"/>
    <w:rsid w:val="00B62202"/>
    <w:rsid w:val="00B811AA"/>
    <w:rsid w:val="00BC689E"/>
    <w:rsid w:val="00BD5A8A"/>
    <w:rsid w:val="00BE71D1"/>
    <w:rsid w:val="00C336AB"/>
    <w:rsid w:val="00C41A71"/>
    <w:rsid w:val="00C577D3"/>
    <w:rsid w:val="00C654C8"/>
    <w:rsid w:val="00C77220"/>
    <w:rsid w:val="00CD4609"/>
    <w:rsid w:val="00CE02DF"/>
    <w:rsid w:val="00CE5E9A"/>
    <w:rsid w:val="00D048C6"/>
    <w:rsid w:val="00D22692"/>
    <w:rsid w:val="00D833F5"/>
    <w:rsid w:val="00D91F70"/>
    <w:rsid w:val="00DA35A5"/>
    <w:rsid w:val="00DB5C45"/>
    <w:rsid w:val="00DD3B84"/>
    <w:rsid w:val="00DD3D92"/>
    <w:rsid w:val="00E122F2"/>
    <w:rsid w:val="00E22145"/>
    <w:rsid w:val="00E33FC3"/>
    <w:rsid w:val="00E80BD7"/>
    <w:rsid w:val="00EA463B"/>
    <w:rsid w:val="00EB2D8E"/>
    <w:rsid w:val="00EC348C"/>
    <w:rsid w:val="00EC64BD"/>
    <w:rsid w:val="00EE22F7"/>
    <w:rsid w:val="00EE2D33"/>
    <w:rsid w:val="00F044B6"/>
    <w:rsid w:val="00F21CF5"/>
    <w:rsid w:val="00F3501B"/>
    <w:rsid w:val="00F4722F"/>
    <w:rsid w:val="00F56CA1"/>
    <w:rsid w:val="00F5740D"/>
    <w:rsid w:val="00F62958"/>
    <w:rsid w:val="00F93DA1"/>
    <w:rsid w:val="00FF4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69D"/>
    <w:pPr>
      <w:spacing w:after="200" w:line="276" w:lineRule="auto"/>
    </w:pPr>
    <w:rPr>
      <w:rFonts w:cs="Calibri"/>
      <w:lang w:val="es-AR" w:eastAsia="en-US"/>
    </w:rPr>
  </w:style>
  <w:style w:type="paragraph" w:styleId="Heading1">
    <w:name w:val="heading 1"/>
    <w:basedOn w:val="Normal"/>
    <w:link w:val="Heading1Char"/>
    <w:uiPriority w:val="99"/>
    <w:qFormat/>
    <w:rsid w:val="00194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429F"/>
    <w:rPr>
      <w:rFonts w:ascii="Times New Roman" w:hAnsi="Times New Roman" w:cs="Times New Roman"/>
      <w:b/>
      <w:bCs/>
      <w:kern w:val="36"/>
      <w:sz w:val="48"/>
      <w:szCs w:val="48"/>
      <w:lang w:eastAsia="es-AR"/>
    </w:rPr>
  </w:style>
  <w:style w:type="character" w:styleId="Hyperlink">
    <w:name w:val="Hyperlink"/>
    <w:basedOn w:val="DefaultParagraphFont"/>
    <w:uiPriority w:val="99"/>
    <w:rsid w:val="006D3FE1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C5C6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9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42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64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ram@fcv.unlp.edu.ar" TargetMode="External"/><Relationship Id="rId5" Type="http://schemas.openxmlformats.org/officeDocument/2006/relationships/hyperlink" Target="mailto:mdade@med.unlp.edu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1137</Words>
  <Characters>6255</Characters>
  <Application>Microsoft Office Outlook</Application>
  <DocSecurity>0</DocSecurity>
  <Lines>0</Lines>
  <Paragraphs>0</Paragraphs>
  <ScaleCrop>false</ScaleCrop>
  <Company>+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Disposición plasmática y eficacia comparativa de ivermectina y doramectina frente a Triatoma infestans en un modelo aviar</dc:title>
  <dc:subject/>
  <dc:creator>casa</dc:creator>
  <cp:keywords/>
  <dc:description/>
  <cp:lastModifiedBy>-</cp:lastModifiedBy>
  <cp:revision>2</cp:revision>
  <dcterms:created xsi:type="dcterms:W3CDTF">2014-05-20T17:23:00Z</dcterms:created>
  <dcterms:modified xsi:type="dcterms:W3CDTF">2014-05-20T17:24:00Z</dcterms:modified>
</cp:coreProperties>
</file>