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06" w:rsidRPr="007E2206" w:rsidRDefault="000E71E4" w:rsidP="00767C9A">
      <w:pPr>
        <w:jc w:val="center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sz w:val="28"/>
          <w:szCs w:val="28"/>
        </w:rPr>
        <w:t xml:space="preserve">Desigualdades en salud: </w:t>
      </w:r>
      <w:r w:rsidR="00617D1E" w:rsidRPr="007E2206">
        <w:rPr>
          <w:rFonts w:ascii="Times New Roman" w:hAnsi="Times New Roman" w:cs="Times New Roman"/>
          <w:sz w:val="28"/>
          <w:szCs w:val="28"/>
        </w:rPr>
        <w:t>Ofidismo.</w:t>
      </w:r>
      <w:r w:rsidR="007E2206" w:rsidRPr="007E2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1E4">
        <w:rPr>
          <w:rFonts w:ascii="Times New Roman" w:hAnsi="Times New Roman" w:cs="Times New Roman"/>
          <w:lang w:val="es-AR"/>
        </w:rPr>
        <w:t>Health</w:t>
      </w:r>
      <w:proofErr w:type="spellEnd"/>
      <w:r w:rsidRPr="000E71E4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0E71E4">
        <w:rPr>
          <w:rFonts w:ascii="Times New Roman" w:hAnsi="Times New Roman" w:cs="Times New Roman"/>
          <w:lang w:val="es-AR"/>
        </w:rPr>
        <w:t>inequities</w:t>
      </w:r>
      <w:proofErr w:type="spellEnd"/>
      <w:r w:rsidRPr="000E71E4">
        <w:rPr>
          <w:rFonts w:ascii="Times New Roman" w:hAnsi="Times New Roman" w:cs="Times New Roman"/>
          <w:lang w:val="es-AR"/>
        </w:rPr>
        <w:t xml:space="preserve">: </w:t>
      </w:r>
      <w:proofErr w:type="spellStart"/>
      <w:r w:rsidR="007E2206" w:rsidRPr="000E71E4">
        <w:rPr>
          <w:rFonts w:ascii="Times New Roman" w:hAnsi="Times New Roman" w:cs="Times New Roman"/>
          <w:lang w:val="es-AR"/>
        </w:rPr>
        <w:t>Snakebite</w:t>
      </w:r>
      <w:proofErr w:type="spellEnd"/>
      <w:r w:rsidRPr="000E71E4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0E71E4">
        <w:rPr>
          <w:rFonts w:ascii="Times New Roman" w:hAnsi="Times New Roman" w:cs="Times New Roman"/>
          <w:lang w:val="es-AR"/>
        </w:rPr>
        <w:t>envenoming</w:t>
      </w:r>
      <w:proofErr w:type="spellEnd"/>
      <w:r w:rsidR="007E2206" w:rsidRPr="000E71E4">
        <w:rPr>
          <w:rFonts w:ascii="Times New Roman" w:hAnsi="Times New Roman" w:cs="Times New Roman"/>
          <w:lang w:val="es-AR"/>
        </w:rPr>
        <w:t>.</w:t>
      </w:r>
    </w:p>
    <w:p w:rsidR="007E2206" w:rsidRPr="007E2206" w:rsidRDefault="007E2206" w:rsidP="007E2206">
      <w:pPr>
        <w:jc w:val="both"/>
        <w:rPr>
          <w:rFonts w:ascii="Times New Roman" w:hAnsi="Times New Roman" w:cs="Times New Roman"/>
          <w:lang w:val="es-AR"/>
        </w:rPr>
      </w:pPr>
    </w:p>
    <w:p w:rsidR="000373BC" w:rsidRPr="007E2206" w:rsidRDefault="00590DAA" w:rsidP="00873D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DAA">
        <w:rPr>
          <w:rFonts w:ascii="Times New Roman" w:hAnsi="Times New Roman" w:cs="Times New Roman"/>
          <w:b/>
        </w:rPr>
        <w:t>Introducción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0E71E4">
        <w:rPr>
          <w:rFonts w:ascii="Times New Roman" w:hAnsi="Times New Roman" w:cs="Times New Roman"/>
        </w:rPr>
        <w:t xml:space="preserve">El envenenamiento por ofidios constituye un importante problema de salud pública en áreas tropicales y subtropicales, </w:t>
      </w:r>
      <w:r w:rsidR="001554B2">
        <w:rPr>
          <w:rFonts w:ascii="Times New Roman" w:hAnsi="Times New Roman" w:cs="Times New Roman"/>
        </w:rPr>
        <w:t xml:space="preserve">ocurriendo la mayoría de los casos en el sur y sudeste de Asia, África sub-Sahara y América Central y del Sur. Se considera que ésta constituye una </w:t>
      </w:r>
      <w:r w:rsidR="000E71E4">
        <w:rPr>
          <w:rFonts w:ascii="Times New Roman" w:hAnsi="Times New Roman" w:cs="Times New Roman"/>
        </w:rPr>
        <w:t>condición desatendida</w:t>
      </w:r>
      <w:r w:rsidR="001554B2">
        <w:rPr>
          <w:rFonts w:ascii="Times New Roman" w:hAnsi="Times New Roman" w:cs="Times New Roman"/>
        </w:rPr>
        <w:t xml:space="preserve">, y  se estima que ocurren al menos </w:t>
      </w:r>
      <w:r w:rsidR="001554B2" w:rsidRPr="001554B2">
        <w:rPr>
          <w:rFonts w:ascii="Times New Roman" w:hAnsi="Times New Roman" w:cs="Times New Roman"/>
        </w:rPr>
        <w:t>421000 casos por año a nivel mundial</w:t>
      </w:r>
      <w:r w:rsidR="001554B2">
        <w:rPr>
          <w:rFonts w:ascii="Times New Roman" w:hAnsi="Times New Roman" w:cs="Times New Roman"/>
        </w:rPr>
        <w:t xml:space="preserve">, pudiendo llegar a </w:t>
      </w:r>
      <w:r w:rsidR="001554B2" w:rsidRPr="001554B2">
        <w:rPr>
          <w:rFonts w:ascii="Times New Roman" w:hAnsi="Times New Roman" w:cs="Times New Roman"/>
        </w:rPr>
        <w:t>1841000 casos anuales.</w:t>
      </w:r>
      <w:r w:rsidR="00774CFD">
        <w:rPr>
          <w:rFonts w:ascii="Times New Roman" w:hAnsi="Times New Roman" w:cs="Times New Roman"/>
        </w:rPr>
        <w:t xml:space="preserve"> Se ha demostrado que el ofidismo es una enfermedad de la pobreza, y que existe una asociación negativa entre la mortalidad por ofidismo y el gasto gubernamental en salud. Esta enfermedad afecta principalmente a la población rural más pobre, sobre todo a aquellos que participan de actividades agrícolas y pecuarias.</w:t>
      </w:r>
      <w:r w:rsidR="00873D1F">
        <w:rPr>
          <w:rFonts w:ascii="Times New Roman" w:hAnsi="Times New Roman" w:cs="Times New Roman"/>
        </w:rPr>
        <w:t xml:space="preserve"> </w:t>
      </w:r>
      <w:r w:rsidR="009F513B">
        <w:rPr>
          <w:rFonts w:ascii="Times New Roman" w:hAnsi="Times New Roman" w:cs="Times New Roman"/>
        </w:rPr>
        <w:t xml:space="preserve">La hipótesis de la salud y la inequidad en el ingreso postula que la salud depende no sólo del ingreso del individuo sino también de cómo el ingreso está distribuido en el lugar donde vive el individuo. </w:t>
      </w:r>
      <w:r w:rsidR="00873D1F">
        <w:rPr>
          <w:rFonts w:ascii="Times New Roman" w:hAnsi="Times New Roman" w:cs="Times New Roman"/>
        </w:rPr>
        <w:t xml:space="preserve">En Argentina, </w:t>
      </w:r>
      <w:r w:rsidR="00E75FCC">
        <w:rPr>
          <w:rFonts w:ascii="Times New Roman" w:hAnsi="Times New Roman" w:cs="Times New Roman"/>
        </w:rPr>
        <w:t xml:space="preserve">los estudios sobre desigualdades en salud son escasos. </w:t>
      </w:r>
      <w:r w:rsidR="009F513B">
        <w:rPr>
          <w:rFonts w:ascii="Times New Roman" w:hAnsi="Times New Roman" w:cs="Times New Roman"/>
        </w:rPr>
        <w:t>L</w:t>
      </w:r>
      <w:r w:rsidR="00873D1F">
        <w:rPr>
          <w:rFonts w:ascii="Times New Roman" w:hAnsi="Times New Roman" w:cs="Times New Roman"/>
        </w:rPr>
        <w:t xml:space="preserve">a información sobre la relación entre </w:t>
      </w:r>
      <w:r w:rsidR="000373BC" w:rsidRPr="007E2206">
        <w:rPr>
          <w:rFonts w:ascii="Times New Roman" w:hAnsi="Times New Roman" w:cs="Times New Roman"/>
        </w:rPr>
        <w:t xml:space="preserve">la vulnerabilidad a accidentes por ofidios </w:t>
      </w:r>
      <w:r w:rsidR="00873D1F">
        <w:rPr>
          <w:rFonts w:ascii="Times New Roman" w:hAnsi="Times New Roman" w:cs="Times New Roman"/>
        </w:rPr>
        <w:t xml:space="preserve">y </w:t>
      </w:r>
      <w:r w:rsidR="000373BC" w:rsidRPr="007E2206">
        <w:rPr>
          <w:rFonts w:ascii="Times New Roman" w:hAnsi="Times New Roman" w:cs="Times New Roman"/>
        </w:rPr>
        <w:t>un status socioeconómico o a la realidad de desigualdades en salud</w:t>
      </w:r>
      <w:r w:rsidR="003305BA" w:rsidRPr="007E2206">
        <w:rPr>
          <w:rFonts w:ascii="Times New Roman" w:hAnsi="Times New Roman" w:cs="Times New Roman"/>
        </w:rPr>
        <w:t xml:space="preserve"> en Argentina</w:t>
      </w:r>
      <w:r w:rsidR="000373BC" w:rsidRPr="007E2206">
        <w:rPr>
          <w:rFonts w:ascii="Times New Roman" w:hAnsi="Times New Roman" w:cs="Times New Roman"/>
        </w:rPr>
        <w:t>.</w:t>
      </w:r>
    </w:p>
    <w:p w:rsidR="002F7D1A" w:rsidRDefault="002F7D1A" w:rsidP="002F7D1A">
      <w:pPr>
        <w:jc w:val="both"/>
        <w:rPr>
          <w:rFonts w:ascii="Times New Roman" w:hAnsi="Times New Roman" w:cs="Times New Roman"/>
        </w:rPr>
      </w:pPr>
    </w:p>
    <w:p w:rsidR="002F7D1A" w:rsidRPr="007E2206" w:rsidRDefault="002F7D1A" w:rsidP="002F7D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E2206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abras clave: ofidismo, desigualdades en salud, pobreza</w:t>
      </w:r>
    </w:p>
    <w:p w:rsidR="002F7D1A" w:rsidRDefault="002F7D1A" w:rsidP="00251D76">
      <w:pPr>
        <w:jc w:val="both"/>
        <w:rPr>
          <w:rFonts w:ascii="Times New Roman" w:hAnsi="Times New Roman" w:cs="Times New Roman"/>
          <w:b/>
        </w:rPr>
      </w:pPr>
    </w:p>
    <w:p w:rsidR="000D72D3" w:rsidRPr="000D72D3" w:rsidRDefault="00251D76" w:rsidP="00251D76">
      <w:pPr>
        <w:jc w:val="both"/>
        <w:rPr>
          <w:rFonts w:ascii="Times New Roman" w:hAnsi="Times New Roman" w:cs="Times New Roman"/>
        </w:rPr>
      </w:pPr>
      <w:r w:rsidRPr="000D72D3">
        <w:rPr>
          <w:rFonts w:ascii="Times New Roman" w:hAnsi="Times New Roman" w:cs="Times New Roman"/>
          <w:b/>
        </w:rPr>
        <w:t xml:space="preserve">Materiales y Métodos. </w:t>
      </w:r>
      <w:r w:rsidR="00483A09" w:rsidRPr="00483A09">
        <w:rPr>
          <w:rFonts w:ascii="Times New Roman" w:hAnsi="Times New Roman" w:cs="Times New Roman"/>
        </w:rPr>
        <w:t>Origen de los datos</w:t>
      </w:r>
      <w:r w:rsidR="00483A09">
        <w:rPr>
          <w:rFonts w:ascii="Times New Roman" w:hAnsi="Times New Roman" w:cs="Times New Roman"/>
        </w:rPr>
        <w:t>:</w:t>
      </w:r>
      <w:r w:rsidR="000D72D3" w:rsidRPr="000D72D3">
        <w:rPr>
          <w:rFonts w:ascii="Times New Roman" w:hAnsi="Times New Roman" w:cs="Times New Roman"/>
        </w:rPr>
        <w:t xml:space="preserve"> </w:t>
      </w:r>
      <w:r w:rsidR="00483A09" w:rsidRPr="000D72D3">
        <w:rPr>
          <w:rFonts w:ascii="Times New Roman" w:hAnsi="Times New Roman" w:cs="Times New Roman"/>
        </w:rPr>
        <w:t>Sistema Nacional de Vigilancia de la Salud (SNVS) módulo C2</w:t>
      </w:r>
      <w:r w:rsidR="00483A09">
        <w:rPr>
          <w:rFonts w:ascii="Times New Roman" w:hAnsi="Times New Roman" w:cs="Times New Roman"/>
        </w:rPr>
        <w:t xml:space="preserve">, </w:t>
      </w:r>
      <w:r w:rsidR="000D72D3" w:rsidRPr="000D72D3">
        <w:rPr>
          <w:rFonts w:ascii="Times New Roman" w:hAnsi="Times New Roman" w:cs="Times New Roman"/>
        </w:rPr>
        <w:t xml:space="preserve">evento Envenenamiento por Animal Ponzoñoso – Ofidismo, correspondientes al período </w:t>
      </w:r>
      <w:r w:rsidR="000D0310" w:rsidRPr="000D72D3">
        <w:rPr>
          <w:rFonts w:ascii="Times New Roman" w:hAnsi="Times New Roman" w:cs="Times New Roman"/>
        </w:rPr>
        <w:t>2009-2013</w:t>
      </w:r>
      <w:r w:rsidR="00483A09">
        <w:rPr>
          <w:rFonts w:ascii="Times New Roman" w:hAnsi="Times New Roman" w:cs="Times New Roman"/>
        </w:rPr>
        <w:t>;</w:t>
      </w:r>
      <w:r w:rsidR="000D72D3" w:rsidRPr="000D72D3">
        <w:rPr>
          <w:rFonts w:ascii="Times New Roman" w:hAnsi="Times New Roman" w:cs="Times New Roman"/>
        </w:rPr>
        <w:t xml:space="preserve"> Censo 2001 (INDEC)</w:t>
      </w:r>
      <w:r w:rsidR="00483A09">
        <w:rPr>
          <w:rFonts w:ascii="Times New Roman" w:hAnsi="Times New Roman" w:cs="Times New Roman"/>
        </w:rPr>
        <w:t xml:space="preserve">, variables </w:t>
      </w:r>
      <w:r w:rsidR="000D72D3" w:rsidRPr="000D72D3">
        <w:rPr>
          <w:rFonts w:ascii="Times New Roman" w:hAnsi="Times New Roman" w:cs="Times New Roman"/>
        </w:rPr>
        <w:t>Porcentaje de hogares con NBI, Porcentaje de población sin cobertura social, plan medico o mutual, Hogares según índice de privación material convergente (IPMHC) - intensidad de la pobreza, Hogares según índice de privación material (IPMH) - incidencia de la pobreza, Tasa de actividad, Porcentaje de hogares perteneciente o descendiente a un pueblo indígena y Porcentaje de población rural, desagregados a nivel de departamento.</w:t>
      </w:r>
      <w:r w:rsidR="00483A09">
        <w:rPr>
          <w:rFonts w:ascii="Times New Roman" w:hAnsi="Times New Roman" w:cs="Times New Roman"/>
        </w:rPr>
        <w:t xml:space="preserve"> Se calcularon las tasas de Ofidismo por departamento. Se calcularon las curvas de concentración y sus respectivos índices con EPIDAT 4.0, considerando la tasa de ofidismo por departamento como la variable de salud, junto con las variables socioeconómicas antes mencionadas.</w:t>
      </w:r>
    </w:p>
    <w:p w:rsidR="002F7D1A" w:rsidRDefault="002F7D1A" w:rsidP="00483A09">
      <w:pPr>
        <w:jc w:val="both"/>
        <w:rPr>
          <w:rFonts w:ascii="Times New Roman" w:hAnsi="Times New Roman" w:cs="Times New Roman"/>
          <w:b/>
        </w:rPr>
      </w:pPr>
    </w:p>
    <w:p w:rsidR="00483A09" w:rsidRPr="00805BBD" w:rsidRDefault="00483A09" w:rsidP="00483A0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251D76" w:rsidRPr="00251D76">
        <w:rPr>
          <w:rFonts w:ascii="Times New Roman" w:hAnsi="Times New Roman" w:cs="Times New Roman"/>
          <w:b/>
        </w:rPr>
        <w:t>esultados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En el período 2009-2013 se notificaron al SNVS – C2 </w:t>
      </w:r>
      <w:r w:rsidRPr="000D0310">
        <w:rPr>
          <w:rFonts w:ascii="Times New Roman" w:hAnsi="Times New Roman" w:cs="Times New Roman"/>
        </w:rPr>
        <w:t>3467</w:t>
      </w:r>
      <w:r w:rsidR="002F7D1A">
        <w:rPr>
          <w:rFonts w:ascii="Times New Roman" w:hAnsi="Times New Roman" w:cs="Times New Roman"/>
        </w:rPr>
        <w:t xml:space="preserve"> casos, de los cuales, </w:t>
      </w:r>
      <w:r w:rsidRPr="000D0310">
        <w:rPr>
          <w:rFonts w:ascii="Times New Roman" w:hAnsi="Times New Roman" w:cs="Times New Roman"/>
        </w:rPr>
        <w:t xml:space="preserve">3447 </w:t>
      </w:r>
      <w:r w:rsidR="002F7D1A">
        <w:rPr>
          <w:rFonts w:ascii="Times New Roman" w:hAnsi="Times New Roman" w:cs="Times New Roman"/>
        </w:rPr>
        <w:t xml:space="preserve">contaban con información acerca del </w:t>
      </w:r>
      <w:r w:rsidRPr="000D0310">
        <w:rPr>
          <w:rFonts w:ascii="Times New Roman" w:hAnsi="Times New Roman" w:cs="Times New Roman"/>
        </w:rPr>
        <w:t>departamento de residencia</w:t>
      </w:r>
      <w:r w:rsidR="002F7D1A">
        <w:rPr>
          <w:rFonts w:ascii="Times New Roman" w:hAnsi="Times New Roman" w:cs="Times New Roman"/>
        </w:rPr>
        <w:t xml:space="preserve"> o notificación</w:t>
      </w:r>
      <w:r w:rsidRPr="000D03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805BBD">
        <w:rPr>
          <w:rFonts w:ascii="Times New Roman" w:hAnsi="Times New Roman" w:cs="Times New Roman"/>
        </w:rPr>
        <w:t>Las tasas de ocurrencia del evento entre los departamentos con casos notificados variaron entre 0.17 y 313.76 casos cada 100000 habitantes. En la tabla 1 se muestran los índices de concentración obtenidos para las distintas variables socioeconómicas. Mientras que no parece haber relación entre el p</w:t>
      </w:r>
      <w:r w:rsidR="00805BBD" w:rsidRPr="00805BBD">
        <w:rPr>
          <w:rFonts w:ascii="Times New Roman" w:hAnsi="Times New Roman" w:cs="Times New Roman"/>
        </w:rPr>
        <w:t>orcentaje de hogares perteneciente o descendiente a un pueblo indígena</w:t>
      </w:r>
      <w:r w:rsidR="00805BBD">
        <w:rPr>
          <w:rFonts w:ascii="Times New Roman" w:hAnsi="Times New Roman" w:cs="Times New Roman"/>
        </w:rPr>
        <w:t xml:space="preserve"> y la tasa de ofidismo por departamento, las otras variables socioeconómicas estudiadas sí presentan relación con la tasa de ofidismo.</w:t>
      </w:r>
    </w:p>
    <w:p w:rsidR="002F7D1A" w:rsidRDefault="002F7D1A" w:rsidP="00251D76">
      <w:pPr>
        <w:rPr>
          <w:rFonts w:ascii="Times New Roman" w:hAnsi="Times New Roman" w:cs="Times New Roman"/>
          <w:b/>
        </w:rPr>
      </w:pPr>
    </w:p>
    <w:p w:rsidR="00BE5400" w:rsidRPr="00251D76" w:rsidRDefault="00251D76" w:rsidP="00251D76">
      <w:pPr>
        <w:rPr>
          <w:rFonts w:ascii="Times New Roman" w:hAnsi="Times New Roman" w:cs="Times New Roman"/>
          <w:b/>
        </w:rPr>
      </w:pPr>
      <w:r w:rsidRPr="00251D76">
        <w:rPr>
          <w:rFonts w:ascii="Times New Roman" w:hAnsi="Times New Roman" w:cs="Times New Roman"/>
          <w:b/>
        </w:rPr>
        <w:t>Discusión.</w:t>
      </w:r>
    </w:p>
    <w:p w:rsidR="00FA0CBC" w:rsidRDefault="00CB63E4" w:rsidP="002F7D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trabajo muestra la relación existente entre las condiciones socioeconómicas de la unidad geográfica de residencia y la ocurrencia de casos de envenenamiento por mordedura de ofidios en este lugar. Este hallazgo va a permitir direccionar acciones de política sanitaria a aquellas áreas más vulnerables, apuntando a reducir las inequidades entre las distintas áreas del país.</w:t>
      </w:r>
    </w:p>
    <w:p w:rsidR="00FA0CBC" w:rsidRPr="00AD0E1E" w:rsidRDefault="00FA0CBC" w:rsidP="002F7D1A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AD0E1E">
        <w:rPr>
          <w:rFonts w:ascii="Times New Roman" w:hAnsi="Times New Roman" w:cs="Times New Roman"/>
          <w:b/>
          <w:lang w:val="en-US"/>
        </w:rPr>
        <w:t>Bibliografía</w:t>
      </w:r>
      <w:proofErr w:type="spellEnd"/>
    </w:p>
    <w:p w:rsidR="00851B07" w:rsidRPr="00AD0E1E" w:rsidRDefault="000E64C5" w:rsidP="00851B07">
      <w:pPr>
        <w:pStyle w:val="NormalWeb"/>
        <w:ind w:left="480" w:hanging="480"/>
        <w:rPr>
          <w:noProof/>
          <w:lang w:val="en-US"/>
        </w:rPr>
      </w:pPr>
      <w:r w:rsidRPr="000E64C5">
        <w:rPr>
          <w:rFonts w:eastAsiaTheme="minorEastAsia"/>
        </w:rPr>
        <w:lastRenderedPageBreak/>
        <w:fldChar w:fldCharType="begin" w:fldLock="1"/>
      </w:r>
      <w:r w:rsidR="00851B07" w:rsidRPr="00AD0E1E">
        <w:rPr>
          <w:lang w:val="en-US"/>
        </w:rPr>
        <w:instrText xml:space="preserve">ADDIN Mendeley Bibliography CSL_BIBLIOGRAPHY </w:instrText>
      </w:r>
      <w:r w:rsidRPr="000E64C5">
        <w:rPr>
          <w:rFonts w:eastAsiaTheme="minorEastAsia"/>
        </w:rPr>
        <w:fldChar w:fldCharType="separate"/>
      </w:r>
      <w:r w:rsidR="00851B07" w:rsidRPr="00AD0E1E">
        <w:rPr>
          <w:noProof/>
          <w:lang w:val="en-US"/>
        </w:rPr>
        <w:t xml:space="preserve">De Maio, F. (2012). Advancing the income inequality – health hypothesis. </w:t>
      </w:r>
      <w:r w:rsidR="00851B07" w:rsidRPr="00AD0E1E">
        <w:rPr>
          <w:i/>
          <w:iCs/>
          <w:noProof/>
          <w:lang w:val="en-US"/>
        </w:rPr>
        <w:t>Critical Public Health</w:t>
      </w:r>
      <w:r w:rsidR="00851B07" w:rsidRPr="00AD0E1E">
        <w:rPr>
          <w:noProof/>
          <w:lang w:val="en-US"/>
        </w:rPr>
        <w:t xml:space="preserve">, </w:t>
      </w:r>
      <w:r w:rsidR="00851B07" w:rsidRPr="00AD0E1E">
        <w:rPr>
          <w:i/>
          <w:iCs/>
          <w:noProof/>
          <w:lang w:val="en-US"/>
        </w:rPr>
        <w:t>22</w:t>
      </w:r>
      <w:r w:rsidR="00851B07" w:rsidRPr="00AD0E1E">
        <w:rPr>
          <w:noProof/>
          <w:lang w:val="en-US"/>
        </w:rPr>
        <w:t>(1), 39–46. doi:10.1080/09581596.2011.604670</w:t>
      </w:r>
    </w:p>
    <w:p w:rsidR="00851B07" w:rsidRPr="00AD0E1E" w:rsidRDefault="00851B07" w:rsidP="00851B07">
      <w:pPr>
        <w:pStyle w:val="NormalWeb"/>
        <w:ind w:left="480" w:hanging="480"/>
        <w:rPr>
          <w:noProof/>
          <w:lang w:val="en-US"/>
        </w:rPr>
      </w:pPr>
      <w:r w:rsidRPr="00AD0E1E">
        <w:rPr>
          <w:noProof/>
          <w:lang w:val="en-US"/>
        </w:rPr>
        <w:t xml:space="preserve">Harrison, R. a, Hargreaves, A., Wagstaff, S. C., Faragher, B., &amp; Lalloo, D. G. (2009). Snake envenoming: a disease of poverty. </w:t>
      </w:r>
      <w:r w:rsidRPr="00AD0E1E">
        <w:rPr>
          <w:i/>
          <w:iCs/>
          <w:noProof/>
          <w:lang w:val="en-US"/>
        </w:rPr>
        <w:t>PLoS Neglected Tropical Diseases</w:t>
      </w:r>
      <w:r w:rsidRPr="00AD0E1E">
        <w:rPr>
          <w:noProof/>
          <w:lang w:val="en-US"/>
        </w:rPr>
        <w:t xml:space="preserve">, </w:t>
      </w:r>
      <w:r w:rsidRPr="00AD0E1E">
        <w:rPr>
          <w:i/>
          <w:iCs/>
          <w:noProof/>
          <w:lang w:val="en-US"/>
        </w:rPr>
        <w:t>3</w:t>
      </w:r>
      <w:r w:rsidRPr="00AD0E1E">
        <w:rPr>
          <w:noProof/>
          <w:lang w:val="en-US"/>
        </w:rPr>
        <w:t>(12), e569. doi:10.1371/journal.pntd.0000569</w:t>
      </w:r>
    </w:p>
    <w:p w:rsidR="00851B07" w:rsidRPr="00851B07" w:rsidRDefault="00851B07" w:rsidP="00851B07">
      <w:pPr>
        <w:pStyle w:val="NormalWeb"/>
        <w:ind w:left="480" w:hanging="480"/>
        <w:rPr>
          <w:noProof/>
        </w:rPr>
      </w:pPr>
      <w:r w:rsidRPr="00851B07">
        <w:rPr>
          <w:noProof/>
        </w:rPr>
        <w:t xml:space="preserve">Kasturiratne, A., Wickremasinghe, a R., de Silva, N., Gunawardena, N. K., Pathmeswaran, A., Premaratna, R., … de Silva, H. J. (2008). </w:t>
      </w:r>
      <w:r w:rsidRPr="00AD0E1E">
        <w:rPr>
          <w:noProof/>
          <w:lang w:val="en-US"/>
        </w:rPr>
        <w:t xml:space="preserve">The global burden of snakebite: a literature analysis and modelling based on regional estimates of envenoming and deaths. </w:t>
      </w:r>
      <w:r w:rsidRPr="00851B07">
        <w:rPr>
          <w:i/>
          <w:iCs/>
          <w:noProof/>
        </w:rPr>
        <w:t>PLoS Medicine</w:t>
      </w:r>
      <w:r w:rsidRPr="00851B07">
        <w:rPr>
          <w:noProof/>
        </w:rPr>
        <w:t xml:space="preserve">, </w:t>
      </w:r>
      <w:r w:rsidRPr="00851B07">
        <w:rPr>
          <w:i/>
          <w:iCs/>
          <w:noProof/>
        </w:rPr>
        <w:t>5</w:t>
      </w:r>
      <w:r w:rsidRPr="00851B07">
        <w:rPr>
          <w:noProof/>
        </w:rPr>
        <w:t>(11), e218. doi:10.1371/journal.pmed.0050218</w:t>
      </w:r>
    </w:p>
    <w:p w:rsidR="00FA0CBC" w:rsidRPr="00FA0CBC" w:rsidRDefault="000E64C5" w:rsidP="00851B07">
      <w:pPr>
        <w:jc w:val="both"/>
        <w:rPr>
          <w:rFonts w:ascii="Times New Roman" w:hAnsi="Times New Roman" w:cs="Times New Roman"/>
          <w:b/>
        </w:rPr>
      </w:pPr>
      <w:r w:rsidRPr="00851B07">
        <w:rPr>
          <w:rFonts w:ascii="Times New Roman" w:hAnsi="Times New Roman" w:cs="Times New Roman"/>
        </w:rPr>
        <w:fldChar w:fldCharType="end"/>
      </w:r>
    </w:p>
    <w:p w:rsidR="00CB63E4" w:rsidRPr="00FA0CBC" w:rsidRDefault="00CB63E4" w:rsidP="002F7D1A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center"/>
        <w:tblInd w:w="-1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7"/>
        <w:gridCol w:w="2137"/>
      </w:tblGrid>
      <w:tr w:rsidR="00CB63E4" w:rsidRPr="00CB63E4" w:rsidTr="00E369A8">
        <w:trPr>
          <w:jc w:val="center"/>
        </w:trPr>
        <w:tc>
          <w:tcPr>
            <w:tcW w:w="7684" w:type="dxa"/>
            <w:gridSpan w:val="2"/>
          </w:tcPr>
          <w:p w:rsidR="00CB63E4" w:rsidRPr="00CB63E4" w:rsidRDefault="00CB63E4" w:rsidP="002C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961">
              <w:rPr>
                <w:rFonts w:ascii="Times New Roman" w:hAnsi="Times New Roman" w:cs="Times New Roman"/>
                <w:b/>
                <w:sz w:val="20"/>
                <w:szCs w:val="20"/>
              </w:rPr>
              <w:t>Tabla 1</w:t>
            </w:r>
            <w:r w:rsidRPr="00CB63E4">
              <w:rPr>
                <w:rFonts w:ascii="Times New Roman" w:hAnsi="Times New Roman" w:cs="Times New Roman"/>
                <w:sz w:val="20"/>
                <w:szCs w:val="20"/>
              </w:rPr>
              <w:t>. Índices de concentración para distintas variables socioeconómicas.</w:t>
            </w:r>
          </w:p>
        </w:tc>
      </w:tr>
      <w:tr w:rsidR="00CB63E4" w:rsidRPr="004F7297" w:rsidTr="002C4B0B">
        <w:trPr>
          <w:jc w:val="center"/>
        </w:trPr>
        <w:tc>
          <w:tcPr>
            <w:tcW w:w="5547" w:type="dxa"/>
          </w:tcPr>
          <w:p w:rsidR="00CB63E4" w:rsidRPr="004F7297" w:rsidRDefault="00CB63E4" w:rsidP="00146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b/>
                <w:sz w:val="20"/>
                <w:szCs w:val="20"/>
              </w:rPr>
              <w:t>Variable Socioeconómica</w:t>
            </w:r>
          </w:p>
        </w:tc>
        <w:tc>
          <w:tcPr>
            <w:tcW w:w="2137" w:type="dxa"/>
          </w:tcPr>
          <w:p w:rsidR="00CB63E4" w:rsidRPr="004F7297" w:rsidRDefault="00CB63E4" w:rsidP="002C4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b/>
                <w:sz w:val="20"/>
                <w:szCs w:val="20"/>
              </w:rPr>
              <w:t>Índice de concentración</w:t>
            </w:r>
          </w:p>
        </w:tc>
      </w:tr>
      <w:tr w:rsidR="00CB63E4" w:rsidRPr="004F7297" w:rsidTr="002C4B0B">
        <w:trPr>
          <w:jc w:val="center"/>
        </w:trPr>
        <w:tc>
          <w:tcPr>
            <w:tcW w:w="5547" w:type="dxa"/>
          </w:tcPr>
          <w:p w:rsidR="00CB63E4" w:rsidRPr="004F7297" w:rsidRDefault="00CB63E4" w:rsidP="001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Porcentaje de hogares con NBI</w:t>
            </w:r>
          </w:p>
        </w:tc>
        <w:tc>
          <w:tcPr>
            <w:tcW w:w="2137" w:type="dxa"/>
          </w:tcPr>
          <w:p w:rsidR="00CB63E4" w:rsidRPr="004F7297" w:rsidRDefault="00CB63E4" w:rsidP="002C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-0,573</w:t>
            </w:r>
          </w:p>
        </w:tc>
      </w:tr>
      <w:tr w:rsidR="00CB63E4" w:rsidRPr="004F7297" w:rsidTr="002C4B0B">
        <w:trPr>
          <w:jc w:val="center"/>
        </w:trPr>
        <w:tc>
          <w:tcPr>
            <w:tcW w:w="5547" w:type="dxa"/>
          </w:tcPr>
          <w:p w:rsidR="00CB63E4" w:rsidRPr="004F7297" w:rsidRDefault="00CB63E4" w:rsidP="001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Porcentaje de población sin cobertura social, plan medico o mutual</w:t>
            </w:r>
          </w:p>
        </w:tc>
        <w:tc>
          <w:tcPr>
            <w:tcW w:w="2137" w:type="dxa"/>
          </w:tcPr>
          <w:p w:rsidR="00CB63E4" w:rsidRPr="004F7297" w:rsidRDefault="00CB63E4" w:rsidP="002C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-0,5352</w:t>
            </w:r>
          </w:p>
        </w:tc>
      </w:tr>
      <w:tr w:rsidR="00CB63E4" w:rsidRPr="004F7297" w:rsidTr="002C4B0B">
        <w:trPr>
          <w:jc w:val="center"/>
        </w:trPr>
        <w:tc>
          <w:tcPr>
            <w:tcW w:w="5547" w:type="dxa"/>
          </w:tcPr>
          <w:p w:rsidR="00CB63E4" w:rsidRPr="004F7297" w:rsidRDefault="00CB63E4" w:rsidP="001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Hogares según índice de privación material convergente (IPMHC) - intensidad de la pobreza</w:t>
            </w:r>
          </w:p>
        </w:tc>
        <w:tc>
          <w:tcPr>
            <w:tcW w:w="2137" w:type="dxa"/>
          </w:tcPr>
          <w:p w:rsidR="00CB63E4" w:rsidRPr="004F7297" w:rsidRDefault="00CB63E4" w:rsidP="002C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-0,5825</w:t>
            </w:r>
          </w:p>
        </w:tc>
      </w:tr>
      <w:tr w:rsidR="00CB63E4" w:rsidRPr="004F7297" w:rsidTr="002C4B0B">
        <w:trPr>
          <w:jc w:val="center"/>
        </w:trPr>
        <w:tc>
          <w:tcPr>
            <w:tcW w:w="5547" w:type="dxa"/>
          </w:tcPr>
          <w:p w:rsidR="00CB63E4" w:rsidRPr="004F7297" w:rsidRDefault="00CB63E4" w:rsidP="001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Hogares según índice de privación material (IPMH) - incidencia de la pobreza</w:t>
            </w:r>
          </w:p>
        </w:tc>
        <w:tc>
          <w:tcPr>
            <w:tcW w:w="2137" w:type="dxa"/>
          </w:tcPr>
          <w:p w:rsidR="00CB63E4" w:rsidRPr="004F7297" w:rsidRDefault="00CB63E4" w:rsidP="002C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-0,5999</w:t>
            </w:r>
          </w:p>
        </w:tc>
      </w:tr>
      <w:tr w:rsidR="00CB63E4" w:rsidRPr="004F7297" w:rsidTr="002C4B0B">
        <w:trPr>
          <w:jc w:val="center"/>
        </w:trPr>
        <w:tc>
          <w:tcPr>
            <w:tcW w:w="5547" w:type="dxa"/>
          </w:tcPr>
          <w:p w:rsidR="00CB63E4" w:rsidRPr="004F7297" w:rsidRDefault="00CB63E4" w:rsidP="001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Tasa de actividad</w:t>
            </w:r>
          </w:p>
        </w:tc>
        <w:tc>
          <w:tcPr>
            <w:tcW w:w="2137" w:type="dxa"/>
          </w:tcPr>
          <w:p w:rsidR="00CB63E4" w:rsidRPr="004F7297" w:rsidRDefault="00CB63E4" w:rsidP="002C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0,5855</w:t>
            </w:r>
          </w:p>
        </w:tc>
      </w:tr>
      <w:tr w:rsidR="00CB63E4" w:rsidRPr="004F7297" w:rsidTr="002C4B0B">
        <w:trPr>
          <w:jc w:val="center"/>
        </w:trPr>
        <w:tc>
          <w:tcPr>
            <w:tcW w:w="5547" w:type="dxa"/>
          </w:tcPr>
          <w:p w:rsidR="00CB63E4" w:rsidRPr="004F7297" w:rsidRDefault="00CB63E4" w:rsidP="001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Porcentaje de hogares perteneciente o descendiente a un pueblo indígena</w:t>
            </w:r>
          </w:p>
        </w:tc>
        <w:tc>
          <w:tcPr>
            <w:tcW w:w="2137" w:type="dxa"/>
          </w:tcPr>
          <w:p w:rsidR="00CB63E4" w:rsidRPr="004F7297" w:rsidRDefault="00CB63E4" w:rsidP="002C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0,1821</w:t>
            </w:r>
          </w:p>
        </w:tc>
      </w:tr>
      <w:tr w:rsidR="00CB63E4" w:rsidRPr="004F7297" w:rsidTr="002C4B0B">
        <w:trPr>
          <w:jc w:val="center"/>
        </w:trPr>
        <w:tc>
          <w:tcPr>
            <w:tcW w:w="5547" w:type="dxa"/>
          </w:tcPr>
          <w:p w:rsidR="00CB63E4" w:rsidRPr="004F7297" w:rsidRDefault="00CB63E4" w:rsidP="001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Porcentaje de población rural</w:t>
            </w:r>
          </w:p>
        </w:tc>
        <w:tc>
          <w:tcPr>
            <w:tcW w:w="2137" w:type="dxa"/>
          </w:tcPr>
          <w:p w:rsidR="00CB63E4" w:rsidRPr="004F7297" w:rsidRDefault="00CB63E4" w:rsidP="002C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297">
              <w:rPr>
                <w:rFonts w:ascii="Times New Roman" w:hAnsi="Times New Roman" w:cs="Times New Roman"/>
                <w:sz w:val="20"/>
                <w:szCs w:val="20"/>
              </w:rPr>
              <w:t>0,5392</w:t>
            </w:r>
          </w:p>
        </w:tc>
      </w:tr>
    </w:tbl>
    <w:p w:rsidR="00CB63E4" w:rsidRPr="007E2206" w:rsidRDefault="00CB63E4" w:rsidP="00CB63E4">
      <w:pPr>
        <w:jc w:val="both"/>
        <w:rPr>
          <w:rFonts w:ascii="Times New Roman" w:hAnsi="Times New Roman" w:cs="Times New Roman"/>
        </w:rPr>
      </w:pPr>
    </w:p>
    <w:p w:rsidR="00CB63E4" w:rsidRDefault="00CB63E4" w:rsidP="002F7D1A">
      <w:pPr>
        <w:jc w:val="both"/>
        <w:rPr>
          <w:rFonts w:ascii="Times New Roman" w:hAnsi="Times New Roman" w:cs="Times New Roman"/>
        </w:rPr>
      </w:pPr>
    </w:p>
    <w:p w:rsidR="003305BA" w:rsidRPr="007E2206" w:rsidRDefault="003305BA" w:rsidP="007E2206">
      <w:pPr>
        <w:jc w:val="both"/>
        <w:rPr>
          <w:rFonts w:ascii="Times New Roman" w:hAnsi="Times New Roman" w:cs="Times New Roman"/>
        </w:rPr>
      </w:pPr>
    </w:p>
    <w:sectPr w:rsidR="003305BA" w:rsidRPr="007E2206" w:rsidSect="007E2206">
      <w:pgSz w:w="11900" w:h="16840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617D1E"/>
    <w:rsid w:val="0001172A"/>
    <w:rsid w:val="000373BC"/>
    <w:rsid w:val="000B14FC"/>
    <w:rsid w:val="000C69A7"/>
    <w:rsid w:val="000D0310"/>
    <w:rsid w:val="000D72D3"/>
    <w:rsid w:val="000E2EBA"/>
    <w:rsid w:val="000E64C5"/>
    <w:rsid w:val="000E71E4"/>
    <w:rsid w:val="0011111D"/>
    <w:rsid w:val="00146961"/>
    <w:rsid w:val="001554B2"/>
    <w:rsid w:val="00251D76"/>
    <w:rsid w:val="002F7D1A"/>
    <w:rsid w:val="003305BA"/>
    <w:rsid w:val="003877F0"/>
    <w:rsid w:val="0040243E"/>
    <w:rsid w:val="00464AB8"/>
    <w:rsid w:val="00483A09"/>
    <w:rsid w:val="004F7297"/>
    <w:rsid w:val="005403F0"/>
    <w:rsid w:val="00590DAA"/>
    <w:rsid w:val="00617D1E"/>
    <w:rsid w:val="00747389"/>
    <w:rsid w:val="00767C9A"/>
    <w:rsid w:val="00774CFD"/>
    <w:rsid w:val="007C23C8"/>
    <w:rsid w:val="007C3FA0"/>
    <w:rsid w:val="007E2206"/>
    <w:rsid w:val="00805BBD"/>
    <w:rsid w:val="00851B07"/>
    <w:rsid w:val="00873D1F"/>
    <w:rsid w:val="008D645F"/>
    <w:rsid w:val="009F513B"/>
    <w:rsid w:val="00A149CE"/>
    <w:rsid w:val="00A60255"/>
    <w:rsid w:val="00AD0E1E"/>
    <w:rsid w:val="00B36C69"/>
    <w:rsid w:val="00B721EE"/>
    <w:rsid w:val="00BE5400"/>
    <w:rsid w:val="00C511F0"/>
    <w:rsid w:val="00CB63E4"/>
    <w:rsid w:val="00D35718"/>
    <w:rsid w:val="00D50B46"/>
    <w:rsid w:val="00E75FCC"/>
    <w:rsid w:val="00F73799"/>
    <w:rsid w:val="00FA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1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03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3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7297"/>
    <w:rPr>
      <w:rFonts w:eastAsiaTheme="minorHAnsi"/>
      <w:sz w:val="22"/>
      <w:szCs w:val="22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7210F-8F8E-4256-AE6E-9EBFB854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Costa de Oliveira</dc:creator>
  <cp:lastModifiedBy>lgeffner</cp:lastModifiedBy>
  <cp:revision>2</cp:revision>
  <dcterms:created xsi:type="dcterms:W3CDTF">2014-04-30T13:17:00Z</dcterms:created>
  <dcterms:modified xsi:type="dcterms:W3CDTF">2014-04-30T13:17:00Z</dcterms:modified>
</cp:coreProperties>
</file>